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4B" w:rsidRPr="00790D6B" w:rsidRDefault="001B0E47" w:rsidP="007853BF">
      <w:pPr>
        <w:spacing w:after="0" w:line="240" w:lineRule="auto"/>
        <w:ind w:firstLine="0"/>
        <w:contextualSpacing/>
        <w:jc w:val="center"/>
        <w:rPr>
          <w:b/>
          <w:szCs w:val="28"/>
        </w:rPr>
      </w:pPr>
      <w:r w:rsidRPr="00790D6B">
        <w:rPr>
          <w:b/>
          <w:szCs w:val="28"/>
        </w:rPr>
        <w:t xml:space="preserve">ĐỀ </w:t>
      </w:r>
      <w:r w:rsidR="00591D4B" w:rsidRPr="00790D6B">
        <w:rPr>
          <w:b/>
          <w:szCs w:val="28"/>
        </w:rPr>
        <w:t xml:space="preserve">CƯƠNG </w:t>
      </w:r>
      <w:r w:rsidRPr="00790D6B">
        <w:rPr>
          <w:b/>
          <w:szCs w:val="28"/>
        </w:rPr>
        <w:t>ĐÁNH GIÁ GIỮA KỲ 03 NĂM THỰC HIỆN</w:t>
      </w:r>
    </w:p>
    <w:p w:rsidR="001B0E47" w:rsidRPr="00790D6B" w:rsidRDefault="001B0E47" w:rsidP="007853BF">
      <w:pPr>
        <w:spacing w:after="0" w:line="240" w:lineRule="auto"/>
        <w:ind w:firstLine="0"/>
        <w:contextualSpacing/>
        <w:jc w:val="center"/>
        <w:rPr>
          <w:b/>
          <w:szCs w:val="28"/>
        </w:rPr>
      </w:pPr>
      <w:r w:rsidRPr="00790D6B">
        <w:rPr>
          <w:b/>
          <w:szCs w:val="28"/>
        </w:rPr>
        <w:t xml:space="preserve">CƠ CẤU LẠI </w:t>
      </w:r>
      <w:r w:rsidR="00591D4B" w:rsidRPr="00790D6B">
        <w:rPr>
          <w:b/>
          <w:szCs w:val="28"/>
        </w:rPr>
        <w:t>NỀN KINH TẾ GIAI ĐOẠN 2016-2020</w:t>
      </w:r>
    </w:p>
    <w:p w:rsidR="00591D4B" w:rsidRPr="00790D6B" w:rsidRDefault="00591D4B" w:rsidP="001B0E47">
      <w:pPr>
        <w:spacing w:line="23" w:lineRule="atLeast"/>
        <w:rPr>
          <w:b/>
          <w:szCs w:val="28"/>
        </w:rPr>
      </w:pPr>
    </w:p>
    <w:p w:rsidR="001B0E47" w:rsidRPr="00EB73D8" w:rsidRDefault="001B0E47" w:rsidP="00EB73D8">
      <w:pPr>
        <w:spacing w:before="40" w:after="40" w:line="240" w:lineRule="auto"/>
        <w:rPr>
          <w:b/>
          <w:sz w:val="27"/>
          <w:szCs w:val="27"/>
        </w:rPr>
      </w:pPr>
      <w:r w:rsidRPr="00EB73D8">
        <w:rPr>
          <w:b/>
          <w:sz w:val="27"/>
          <w:szCs w:val="27"/>
        </w:rPr>
        <w:t xml:space="preserve">I. TÌNH HÌNH THỰC HIỆN CÁC NHIỆM VỤ </w:t>
      </w:r>
      <w:r w:rsidR="00591D4B" w:rsidRPr="00EB73D8">
        <w:rPr>
          <w:b/>
          <w:sz w:val="27"/>
          <w:szCs w:val="27"/>
        </w:rPr>
        <w:t>KẾ HOẠCH HÀNH ĐỘNG S</w:t>
      </w:r>
      <w:r w:rsidR="00790D6B" w:rsidRPr="00EB73D8">
        <w:rPr>
          <w:b/>
          <w:sz w:val="27"/>
          <w:szCs w:val="27"/>
        </w:rPr>
        <w:t>Ố</w:t>
      </w:r>
      <w:r w:rsidR="00591D4B" w:rsidRPr="00EB73D8">
        <w:rPr>
          <w:b/>
          <w:sz w:val="27"/>
          <w:szCs w:val="27"/>
        </w:rPr>
        <w:t xml:space="preserve"> 60/KH-UBND</w:t>
      </w:r>
      <w:r w:rsidRPr="00EB73D8">
        <w:rPr>
          <w:b/>
          <w:sz w:val="27"/>
          <w:szCs w:val="27"/>
        </w:rPr>
        <w:t xml:space="preserve"> </w:t>
      </w:r>
    </w:p>
    <w:p w:rsidR="00790D6B" w:rsidRPr="00EB73D8" w:rsidRDefault="00790D6B" w:rsidP="00EB73D8">
      <w:pPr>
        <w:spacing w:before="40" w:after="40" w:line="240" w:lineRule="auto"/>
        <w:rPr>
          <w:sz w:val="27"/>
          <w:szCs w:val="27"/>
        </w:rPr>
      </w:pPr>
      <w:r w:rsidRPr="00EB73D8">
        <w:rPr>
          <w:sz w:val="27"/>
          <w:szCs w:val="27"/>
        </w:rPr>
        <w:t>Các sở, ban, ngành và UBND quận, huyện, thị xã đánh giá kỹ các nội dung được giao tại Kế hoạch hành động số 60/KH-UBND ngày 09/3/2017 của UBND Thành phố. Ngoài ra, một số nội dung cần tập trung làm rõ như sau:</w:t>
      </w:r>
    </w:p>
    <w:p w:rsidR="001B0E47" w:rsidRPr="00EB73D8" w:rsidRDefault="001B0E47" w:rsidP="00EB73D8">
      <w:pPr>
        <w:spacing w:before="40" w:after="40" w:line="240" w:lineRule="auto"/>
        <w:rPr>
          <w:b/>
          <w:sz w:val="27"/>
          <w:szCs w:val="27"/>
        </w:rPr>
      </w:pPr>
      <w:r w:rsidRPr="00EB73D8">
        <w:rPr>
          <w:b/>
          <w:sz w:val="27"/>
          <w:szCs w:val="27"/>
        </w:rPr>
        <w:t>1. Đẩy mạnh cơ cấu lại doanh nghiệp nhà nước</w:t>
      </w:r>
    </w:p>
    <w:p w:rsidR="001B0E47" w:rsidRPr="00EB73D8" w:rsidRDefault="001B0E47" w:rsidP="00EB73D8">
      <w:pPr>
        <w:spacing w:before="40" w:after="40" w:line="240" w:lineRule="auto"/>
        <w:rPr>
          <w:sz w:val="27"/>
          <w:szCs w:val="27"/>
        </w:rPr>
      </w:pPr>
      <w:r w:rsidRPr="00EB73D8">
        <w:rPr>
          <w:sz w:val="27"/>
          <w:szCs w:val="27"/>
        </w:rPr>
        <w:t>- Rà soát, tập hợp, báo cáo cơ quan có thẩm quyền trước tháng 6 năm 2017 về các dự án thua lỗ kéo dài, không có khả năng phục hồi; thực hiện xử lý theo thẩm quyền, kể cả giải pháp phá sản và hoàn thành xử lý trước tháng 6 năm 2018.</w:t>
      </w:r>
    </w:p>
    <w:p w:rsidR="001B0E47" w:rsidRPr="00EB73D8" w:rsidRDefault="001B0E47" w:rsidP="00EB73D8">
      <w:pPr>
        <w:spacing w:before="40" w:after="40" w:line="240" w:lineRule="auto"/>
        <w:rPr>
          <w:sz w:val="27"/>
          <w:szCs w:val="27"/>
        </w:rPr>
      </w:pPr>
      <w:r w:rsidRPr="00EB73D8">
        <w:rPr>
          <w:sz w:val="27"/>
          <w:szCs w:val="27"/>
        </w:rPr>
        <w:t>- Tập hợp, trước tháng 6 năm 2017 công bố đầy đủ danh mục doanh nghiệp nhà nước không cần nắm giữ trên 50% sở hữu thuộc thẩm quyền quản lý, bao gồm kế hoạch và lộ trình thoái vốn hàng năm đảm bảo hoàn thành thoái vốn trước năm 2019.</w:t>
      </w:r>
    </w:p>
    <w:p w:rsidR="001B0E47" w:rsidRPr="00EB73D8" w:rsidRDefault="001B0E47" w:rsidP="00EB73D8">
      <w:pPr>
        <w:spacing w:before="40" w:after="40" w:line="240" w:lineRule="auto"/>
        <w:rPr>
          <w:sz w:val="27"/>
          <w:szCs w:val="27"/>
        </w:rPr>
      </w:pPr>
      <w:r w:rsidRPr="00EB73D8">
        <w:rPr>
          <w:sz w:val="27"/>
          <w:szCs w:val="27"/>
        </w:rPr>
        <w:t>- Hoàn thành việc chuyển giao các doanh nghiệp thuộc diện chuyển giao về SCIC trước tháng 12 năm 2017.</w:t>
      </w:r>
    </w:p>
    <w:p w:rsidR="001B0E47" w:rsidRPr="00EB73D8" w:rsidRDefault="001B0E47" w:rsidP="00EB73D8">
      <w:pPr>
        <w:spacing w:before="40" w:after="40" w:line="240" w:lineRule="auto"/>
        <w:rPr>
          <w:sz w:val="27"/>
          <w:szCs w:val="27"/>
        </w:rPr>
      </w:pPr>
      <w:r w:rsidRPr="00EB73D8">
        <w:rPr>
          <w:sz w:val="27"/>
          <w:szCs w:val="27"/>
        </w:rPr>
        <w:t>- Thực hiện đúng kế hoạch cổ phần hóa, thoái vốn đầu tư của Nhà nước một cách công khai, minh bạch theo cơ chế thị trường; tăng cường kiểm tra, thanh tra, giám sát, kiểm toán, không để xảy ra thất thoát vốn, tài sản nhà nước; có cơ chế kiểm soát phù hợp nguồn vốn mua bán, sáp nhập doanh nghiệp; các doanh nghiệp cổ phần hóa phải đăng ký giao dịch và niêm yết trên thị trường chứng khoán trong thời hạn một năm kể từ ngày phát hành cổ phiếu lần đầu; thu hút nhà đầu tư chiến lược có năng lực, giảm tỉ lệ sở hữu nhà nước xuống mức đủ để thay đổi quản trị doanh nghiệp một cách thực chất.</w:t>
      </w:r>
    </w:p>
    <w:p w:rsidR="001B0E47" w:rsidRPr="00EB73D8" w:rsidRDefault="001B0E47" w:rsidP="00EB73D8">
      <w:pPr>
        <w:spacing w:before="40" w:after="40" w:line="240" w:lineRule="auto"/>
        <w:rPr>
          <w:b/>
          <w:sz w:val="27"/>
          <w:szCs w:val="27"/>
        </w:rPr>
      </w:pPr>
      <w:r w:rsidRPr="00EB73D8">
        <w:rPr>
          <w:b/>
          <w:sz w:val="27"/>
          <w:szCs w:val="27"/>
        </w:rPr>
        <w:t>2. Đẩy mạnh cơ cấu lại nông nghiệp gắn với xây dựng nông thôn mới</w:t>
      </w:r>
    </w:p>
    <w:p w:rsidR="001B0E47" w:rsidRPr="00EB73D8" w:rsidRDefault="001B0E47" w:rsidP="00EB73D8">
      <w:pPr>
        <w:spacing w:before="40" w:after="40" w:line="240" w:lineRule="auto"/>
        <w:rPr>
          <w:sz w:val="27"/>
          <w:szCs w:val="27"/>
        </w:rPr>
      </w:pPr>
      <w:r w:rsidRPr="00EB73D8">
        <w:rPr>
          <w:sz w:val="27"/>
          <w:szCs w:val="27"/>
        </w:rPr>
        <w:t>- Rà soát, điều chỉnh quy hoạch sản xuất nông nghiệp, đảm bảo phát huy lợi thế của từng vùng, địa phương và tạo vùng nguyên liệu bền vững cho công nghiệp chế biến nông sản đáp ứng nhu cầu thị trường. Rà soát, điều chỉnh diện tích đất trồng lúa ở mức hợp lý, chuyển sang các loại cây trồng, vật nuôi có giá trị cao.</w:t>
      </w:r>
    </w:p>
    <w:p w:rsidR="001B0E47" w:rsidRPr="00EB73D8" w:rsidRDefault="001B0E47" w:rsidP="00EB73D8">
      <w:pPr>
        <w:spacing w:before="40" w:after="40" w:line="240" w:lineRule="auto"/>
        <w:rPr>
          <w:sz w:val="27"/>
          <w:szCs w:val="27"/>
        </w:rPr>
      </w:pPr>
      <w:r w:rsidRPr="00EB73D8">
        <w:rPr>
          <w:sz w:val="27"/>
          <w:szCs w:val="27"/>
        </w:rPr>
        <w:t>- Đổi mới và phát triển các hình thức tổ chức sản xuất phù hợp; nhân rộng các mô hình tổ chức sản xuất mới, hiệu quả đã được kiểm chứng; phát triển các hình thức hợp tác, liên kết sản xuất, chế biến, tiêu thụ nông sản theo chuỗi giá trị, kết nối với hệ thống tiêu thụ ở cả trong nước và ngoài nước; chuyển mạnh từ sản xuất theo hộ gia đình riêng lẻ sang mô hình sản xuất hợp tác, liên kết, tập trung, quy mô lớn; xây dựng chương trình phát triển hợp tác xã và liên hiệp hợp tác xã nông nghiệp.</w:t>
      </w:r>
    </w:p>
    <w:p w:rsidR="001B0E47" w:rsidRPr="00EB73D8" w:rsidRDefault="001B0E47" w:rsidP="00EB73D8">
      <w:pPr>
        <w:spacing w:before="40" w:after="40" w:line="240" w:lineRule="auto"/>
        <w:rPr>
          <w:sz w:val="27"/>
          <w:szCs w:val="27"/>
        </w:rPr>
      </w:pPr>
      <w:r w:rsidRPr="00EB73D8">
        <w:rPr>
          <w:sz w:val="27"/>
          <w:szCs w:val="27"/>
        </w:rPr>
        <w:t>- Tiếp tục đầu tư đẩy mạnh thực hiện chương trình xây dựng thương hiệu nông sản, thủy sản Việt Nam. Đồng thời tiếp tục đầu tư phát triển, hiện đại hóa kết cấu hạ tầng nông nghiệp, nông thôn; tăng cường năng lực phòng, chống, giảm nhẹ thiên tai, ứng phó với biến đổi khí hậu, hợp tác sử dụng có hiệu quả, bền vững nguồn nước xuyên quốc gia, bảo vệ môi trường sinh thái.</w:t>
      </w:r>
    </w:p>
    <w:p w:rsidR="001B0E47" w:rsidRPr="00EB73D8" w:rsidRDefault="001B0E47" w:rsidP="00EB73D8">
      <w:pPr>
        <w:spacing w:before="40" w:after="40" w:line="240" w:lineRule="auto"/>
        <w:rPr>
          <w:sz w:val="27"/>
          <w:szCs w:val="27"/>
        </w:rPr>
      </w:pPr>
      <w:r w:rsidRPr="00EB73D8">
        <w:rPr>
          <w:sz w:val="27"/>
          <w:szCs w:val="27"/>
        </w:rPr>
        <w:t>- Thúc đẩy toàn diện việc áp dụng VietGAP và các tiêu chuẩn tương tự trong sản xuất nông nghiệp, phát triển mạnh thị trường các nông sản áp dụng VietGAP.</w:t>
      </w:r>
    </w:p>
    <w:p w:rsidR="001B0E47" w:rsidRPr="00EB73D8" w:rsidRDefault="001B0E47" w:rsidP="00EB73D8">
      <w:pPr>
        <w:spacing w:before="40" w:after="40" w:line="240" w:lineRule="auto"/>
        <w:rPr>
          <w:sz w:val="27"/>
          <w:szCs w:val="27"/>
        </w:rPr>
      </w:pPr>
      <w:r w:rsidRPr="00EB73D8">
        <w:rPr>
          <w:sz w:val="27"/>
          <w:szCs w:val="27"/>
        </w:rPr>
        <w:lastRenderedPageBreak/>
        <w:t>- Nghiên cứu sửa đổi các biện pháp, chính sách khuyến khích phát triển mạnh công nghiệp chế biến sâu, chế biến tinh nông, lâm, thủy sản; phát triển công nghiệp và dịch vụ ở nông thôn, góp phần tạo việc làm và chuyển đổi cơ cấu lao động nông nghiệp, nâng cao đời sống vật chất, tinh thần của người dân.</w:t>
      </w:r>
    </w:p>
    <w:p w:rsidR="001B0E47" w:rsidRPr="00EB73D8" w:rsidRDefault="001B0E47" w:rsidP="00EB73D8">
      <w:pPr>
        <w:spacing w:before="40" w:after="40" w:line="240" w:lineRule="auto"/>
        <w:rPr>
          <w:b/>
          <w:sz w:val="27"/>
          <w:szCs w:val="27"/>
        </w:rPr>
      </w:pPr>
      <w:r w:rsidRPr="00EB73D8">
        <w:rPr>
          <w:b/>
          <w:sz w:val="27"/>
          <w:szCs w:val="27"/>
        </w:rPr>
        <w:t>3. Cơ cấu lại một cách thực chất các ngành công nghiệp</w:t>
      </w:r>
    </w:p>
    <w:p w:rsidR="001B0E47" w:rsidRPr="00EB73D8" w:rsidRDefault="001B0E47" w:rsidP="00EB73D8">
      <w:pPr>
        <w:spacing w:before="40" w:after="40" w:line="240" w:lineRule="auto"/>
        <w:rPr>
          <w:sz w:val="27"/>
          <w:szCs w:val="27"/>
        </w:rPr>
      </w:pPr>
      <w:r w:rsidRPr="00EB73D8">
        <w:rPr>
          <w:sz w:val="27"/>
          <w:szCs w:val="27"/>
        </w:rPr>
        <w:t>- Tập trung vào những ngành công nghiệp nền tảng, có lợi thế cạnh tranh và có ý nghĩa chiến lược đối với tăng trưởng nhanh, bền vững; lựa chọn sản phẩm chủ yếu của ngành công nghiệp chủ lực để ưu tiên phát triển, cơ cấu lại; phát triển công nghiệp chế biến, chế tạo, tăng mạnh năng suất nội bộ ngành, tăng hàm lượng công nghệ và tỉ trọng giá trị nội địa trong sản phẩm.</w:t>
      </w:r>
    </w:p>
    <w:p w:rsidR="001B0E47" w:rsidRPr="00EB73D8" w:rsidRDefault="001B0E47" w:rsidP="00EB73D8">
      <w:pPr>
        <w:spacing w:before="40" w:after="40" w:line="240" w:lineRule="auto"/>
        <w:rPr>
          <w:sz w:val="27"/>
          <w:szCs w:val="27"/>
        </w:rPr>
      </w:pPr>
      <w:r w:rsidRPr="00EB73D8">
        <w:rPr>
          <w:sz w:val="27"/>
          <w:szCs w:val="27"/>
        </w:rPr>
        <w:t>- Chú trọng phát triển công nghiệp sản xuất linh kiện, cụm linh kiện, thúc đẩy một số mặt hàng tham gia sâu, có hiệu quả vào mạng sản xuất và chuỗi giá trị, phân phối toàn cầu.</w:t>
      </w:r>
    </w:p>
    <w:p w:rsidR="001B0E47" w:rsidRPr="00EB73D8" w:rsidRDefault="001B0E47" w:rsidP="00EB73D8">
      <w:pPr>
        <w:spacing w:before="40" w:after="40" w:line="240" w:lineRule="auto"/>
        <w:rPr>
          <w:b/>
          <w:sz w:val="27"/>
          <w:szCs w:val="27"/>
        </w:rPr>
      </w:pPr>
      <w:r w:rsidRPr="00EB73D8">
        <w:rPr>
          <w:b/>
          <w:sz w:val="27"/>
          <w:szCs w:val="27"/>
        </w:rPr>
        <w:t>4. Thực hiện cơ cấu lại và phát triển nhanh các ngành dịch vụ, duy trì tốc độ tăng trưởng các ngành dịch vụ cao hơn tốc độ tăng trưởng G</w:t>
      </w:r>
      <w:r w:rsidR="00790D6B" w:rsidRPr="00EB73D8">
        <w:rPr>
          <w:b/>
          <w:sz w:val="27"/>
          <w:szCs w:val="27"/>
        </w:rPr>
        <w:t>R</w:t>
      </w:r>
      <w:r w:rsidRPr="00EB73D8">
        <w:rPr>
          <w:b/>
          <w:sz w:val="27"/>
          <w:szCs w:val="27"/>
        </w:rPr>
        <w:t>DP</w:t>
      </w:r>
    </w:p>
    <w:p w:rsidR="001B0E47" w:rsidRPr="00EB73D8" w:rsidRDefault="001B0E47" w:rsidP="00EB73D8">
      <w:pPr>
        <w:spacing w:before="40" w:after="40" w:line="240" w:lineRule="auto"/>
        <w:rPr>
          <w:sz w:val="27"/>
          <w:szCs w:val="27"/>
        </w:rPr>
      </w:pPr>
      <w:r w:rsidRPr="00EB73D8">
        <w:rPr>
          <w:sz w:val="27"/>
          <w:szCs w:val="27"/>
        </w:rPr>
        <w:t>- Tập trung phát triển một số ngành dịch vụ tiềm năng, có hàm lượng tri thức và công nghệ cao như tài chính, ngân hàng, hàng hải, logistics, dịch vụ kỹ thuật dầu khí, hàng không, dịch vụ thương mại; dịch vụ giáo dục, đào tạo; dịch vụ y tế, chăm sóc sức khỏe; các loại dịch vụ kiểm toán, tư vấn, pháp lý...</w:t>
      </w:r>
    </w:p>
    <w:p w:rsidR="001B0E47" w:rsidRPr="00EB73D8" w:rsidRDefault="001B0E47" w:rsidP="00EB73D8">
      <w:pPr>
        <w:spacing w:before="40" w:after="40" w:line="240" w:lineRule="auto"/>
        <w:rPr>
          <w:b/>
          <w:sz w:val="27"/>
          <w:szCs w:val="27"/>
        </w:rPr>
      </w:pPr>
      <w:r w:rsidRPr="00EB73D8">
        <w:rPr>
          <w:b/>
          <w:sz w:val="27"/>
          <w:szCs w:val="27"/>
        </w:rPr>
        <w:t>5. Phát triển mạnh khu vực kinh tế tư nhân Việt Nam</w:t>
      </w:r>
    </w:p>
    <w:p w:rsidR="001B0E47" w:rsidRPr="00EB73D8" w:rsidRDefault="001B0E47" w:rsidP="00EB73D8">
      <w:pPr>
        <w:spacing w:before="40" w:after="40" w:line="240" w:lineRule="auto"/>
        <w:rPr>
          <w:sz w:val="27"/>
          <w:szCs w:val="27"/>
        </w:rPr>
      </w:pPr>
      <w:r w:rsidRPr="00EB73D8">
        <w:rPr>
          <w:sz w:val="27"/>
          <w:szCs w:val="27"/>
        </w:rPr>
        <w:t>- Tổ chức đối thoại công khai định kỳ ít nhất hai lần/năm với cộng đồng doanh nghiệp, báo chí để kịp thời nắm bắt và tháo gỡ khó khăn, vướng mắc cho doanh nghiệp trên địa bàn; thành lập và công khai đường dây nóng, hỏi đáp trực tuyến trên Cổng thông tin điện tử của tỉnh, thành phố để tiếp nhận phản ánh và hướng dẫn, giải đáp cho doanh nghiệp; chỉ đạo và chịu trách nhiệm đẩy mạnh triển khai có hiệu quả cơ chế một cửa, cơ chế một cửa liên thông trong giải quyết thủ tục hành chính tại cơ quan hành chính nhà nước các cấp.</w:t>
      </w:r>
    </w:p>
    <w:p w:rsidR="001B0E47" w:rsidRPr="00EB73D8" w:rsidRDefault="001B0E47" w:rsidP="00EB73D8">
      <w:pPr>
        <w:spacing w:before="40" w:after="40" w:line="240" w:lineRule="auto"/>
        <w:rPr>
          <w:sz w:val="27"/>
          <w:szCs w:val="27"/>
        </w:rPr>
      </w:pPr>
      <w:r w:rsidRPr="00EB73D8">
        <w:rPr>
          <w:sz w:val="27"/>
          <w:szCs w:val="27"/>
        </w:rPr>
        <w:t>- Tiếp tục tập trung triển khai quyết liệt có hiệu quả các nghị quyết của Chính phủ về cải thiện môi trường kinh doanh, nâng cao năng lực cạnh tranh quốc gia; Nghị quyết số 35/NQ-CP ngày 16 tháng 5 năm 2016 của Chính phủ về hỗ trợ và phát triển doanh nghiệp đến năm 2020.</w:t>
      </w:r>
    </w:p>
    <w:p w:rsidR="001B0E47" w:rsidRPr="00EB73D8" w:rsidRDefault="001B0E47" w:rsidP="00EB73D8">
      <w:pPr>
        <w:spacing w:before="40" w:after="40" w:line="240" w:lineRule="auto"/>
        <w:rPr>
          <w:sz w:val="27"/>
          <w:szCs w:val="27"/>
        </w:rPr>
      </w:pPr>
      <w:r w:rsidRPr="00EB73D8">
        <w:rPr>
          <w:sz w:val="27"/>
          <w:szCs w:val="27"/>
        </w:rPr>
        <w:t>- Chỉ đạo các Sở, ban, ngành liên quan và Ủy ban nhân dân các quận, huyện không hình sự hóa các quan hệ kinh tế, dân sự.</w:t>
      </w:r>
    </w:p>
    <w:p w:rsidR="001B0E47" w:rsidRPr="00EB73D8" w:rsidRDefault="001B0E47" w:rsidP="00EB73D8">
      <w:pPr>
        <w:spacing w:before="40" w:after="40" w:line="240" w:lineRule="auto"/>
        <w:rPr>
          <w:sz w:val="27"/>
          <w:szCs w:val="27"/>
        </w:rPr>
      </w:pPr>
      <w:r w:rsidRPr="00EB73D8">
        <w:rPr>
          <w:sz w:val="27"/>
          <w:szCs w:val="27"/>
        </w:rPr>
        <w:t>- Rà soát, điều chỉnh các chính sách, quy trình, thủ tục phê duyệt hỗ trợ doanh nghiệp, đặc biệt là doanh nghiệp nhỏ và vừa, các quỹ phát triển công nghệ địa phương theo hướng đơn giản hóa quy trình, thủ tục nhận hỗ trợ và hỗ trợ có mục tiêu, trọng điểm.</w:t>
      </w:r>
    </w:p>
    <w:p w:rsidR="001B0E47" w:rsidRPr="00EB73D8" w:rsidRDefault="001B0E47" w:rsidP="00EB73D8">
      <w:pPr>
        <w:spacing w:before="40" w:after="40" w:line="240" w:lineRule="auto"/>
        <w:rPr>
          <w:sz w:val="27"/>
          <w:szCs w:val="27"/>
        </w:rPr>
      </w:pPr>
      <w:r w:rsidRPr="00EB73D8">
        <w:rPr>
          <w:sz w:val="27"/>
          <w:szCs w:val="27"/>
        </w:rPr>
        <w:t>- Rà soát các quy hoạch ngành, lĩnh vực để điều chỉnh, bổ sung hoặc loại bỏ cho phù hợp với thị trường và quyền kinh doanh của doanh nghiệp.</w:t>
      </w:r>
    </w:p>
    <w:p w:rsidR="001B0E47" w:rsidRPr="00EB73D8" w:rsidRDefault="001B0E47" w:rsidP="00EB73D8">
      <w:pPr>
        <w:spacing w:before="40" w:after="40" w:line="240" w:lineRule="auto"/>
        <w:rPr>
          <w:sz w:val="27"/>
          <w:szCs w:val="27"/>
        </w:rPr>
      </w:pPr>
      <w:r w:rsidRPr="00EB73D8">
        <w:rPr>
          <w:sz w:val="27"/>
          <w:szCs w:val="27"/>
        </w:rPr>
        <w:t>- Thực hiện thanh tra, kiểm tra đúng theo quy định pháp luật (không quá một lần/năm); kết hợp thanh tra, kiểm tra liên ngành nhiều nội dung trong một đợt thanh tra, kiểm tra, trừ trường hợp thanh tra, kiểm tra đột xuất khi có dấu hiệu vi phạm pháp luật rõ ràng.</w:t>
      </w:r>
    </w:p>
    <w:p w:rsidR="001B0E47" w:rsidRPr="00EB73D8" w:rsidRDefault="001B0E47" w:rsidP="00EB73D8">
      <w:pPr>
        <w:spacing w:before="40" w:after="40" w:line="240" w:lineRule="auto"/>
        <w:rPr>
          <w:sz w:val="27"/>
          <w:szCs w:val="27"/>
        </w:rPr>
      </w:pPr>
      <w:r w:rsidRPr="00EB73D8">
        <w:rPr>
          <w:sz w:val="27"/>
          <w:szCs w:val="27"/>
        </w:rPr>
        <w:lastRenderedPageBreak/>
        <w:t>- Đôn đốc các cơ quan trực thuộc thực hiện nghiêm quy định về đất đai, xây dựng, môi trường, đăng ký kinh doanh, đầu tư và các thủ tục hành chính tạo thuận lợi cho doanh nghiệp.</w:t>
      </w:r>
    </w:p>
    <w:p w:rsidR="001B0E47" w:rsidRPr="00EB73D8" w:rsidRDefault="001B0E47" w:rsidP="00EB73D8">
      <w:pPr>
        <w:spacing w:before="40" w:after="40" w:line="240" w:lineRule="auto"/>
        <w:rPr>
          <w:b/>
          <w:sz w:val="27"/>
          <w:szCs w:val="27"/>
        </w:rPr>
      </w:pPr>
      <w:r w:rsidRPr="00EB73D8">
        <w:rPr>
          <w:b/>
          <w:sz w:val="27"/>
          <w:szCs w:val="27"/>
        </w:rPr>
        <w:t>6. Đổi mới cách thức thực hiện liên kết, phối hợp giữa các địa phương trong phát triển kinh tế vùng; thực hiện có hiệu quả quá trình đô thị hóa</w:t>
      </w:r>
    </w:p>
    <w:p w:rsidR="001B0E47" w:rsidRPr="00EB73D8" w:rsidRDefault="001B0E47" w:rsidP="00EB73D8">
      <w:pPr>
        <w:spacing w:before="40" w:after="40" w:line="240" w:lineRule="auto"/>
        <w:rPr>
          <w:sz w:val="27"/>
          <w:szCs w:val="27"/>
        </w:rPr>
      </w:pPr>
      <w:r w:rsidRPr="00EB73D8">
        <w:rPr>
          <w:sz w:val="27"/>
          <w:szCs w:val="27"/>
        </w:rPr>
        <w:t>Thực hiện có hiệu quả quá trình đô thị hóa trong tiến trình công nghiệp hóa, hiện đại hóa; kiểm soát chặt chẽ quá trình phát triển đô thị, hoàn thiện mô hình phát triển kinh tế đô thị, tổ chức bộ máy, chức năng, nhiệm vụ và phương thức quản lý của chính quyền đô thị.</w:t>
      </w:r>
    </w:p>
    <w:p w:rsidR="001B0E47" w:rsidRPr="00EB73D8" w:rsidRDefault="001B0E47" w:rsidP="00EB73D8">
      <w:pPr>
        <w:spacing w:before="40" w:after="40" w:line="240" w:lineRule="auto"/>
        <w:rPr>
          <w:b/>
          <w:sz w:val="27"/>
          <w:szCs w:val="27"/>
        </w:rPr>
      </w:pPr>
      <w:r w:rsidRPr="00EB73D8">
        <w:rPr>
          <w:b/>
          <w:sz w:val="27"/>
          <w:szCs w:val="27"/>
        </w:rPr>
        <w:t>7. Đổi mới phương thức, nâng cao năng lực, hiệu lực và hiệu quả quản lý nhà nước</w:t>
      </w:r>
    </w:p>
    <w:p w:rsidR="001B0E47" w:rsidRPr="00EB73D8" w:rsidRDefault="001B0E47" w:rsidP="00EB73D8">
      <w:pPr>
        <w:spacing w:before="40" w:after="40" w:line="240" w:lineRule="auto"/>
        <w:rPr>
          <w:sz w:val="27"/>
          <w:szCs w:val="27"/>
        </w:rPr>
      </w:pPr>
      <w:r w:rsidRPr="00EB73D8">
        <w:rPr>
          <w:sz w:val="27"/>
          <w:szCs w:val="27"/>
        </w:rPr>
        <w:t>- Tiếp tục thực hiện nghiêm quy định về tinh giản biên chế gắn với cải cách tiền lương; đổi mới mạnh mẽ quy trình, phương thức tổ chức tuyển dụng, sử dụng, trả lương, đánh giá, đề bạt cán bộ; thực hiện bổ nhiệm, đề bạt cán bộ chủ yếu dựa trên thành tích, kết quả công việc; tăng cường trách nhiệm giải trình của người đứng đầu đối với cán bộ, công chức thuộc quyền quản lý và kết quả thực hiện nhiệm vụ được giao của đơn vị.</w:t>
      </w:r>
    </w:p>
    <w:p w:rsidR="001B0E47" w:rsidRPr="00EB73D8" w:rsidRDefault="001B0E47" w:rsidP="00EB73D8">
      <w:pPr>
        <w:spacing w:before="40" w:after="40" w:line="240" w:lineRule="auto"/>
        <w:rPr>
          <w:sz w:val="27"/>
          <w:szCs w:val="27"/>
        </w:rPr>
      </w:pPr>
      <w:r w:rsidRPr="00EB73D8">
        <w:rPr>
          <w:sz w:val="27"/>
          <w:szCs w:val="27"/>
        </w:rPr>
        <w:t>- Trong phạm vi chức năng nhiệm vụ tăng cường khả năng điều tiết, giám sát, kiểm tra và thanh tra theo mức độ rủi ro và tuân thủ pháp luật của đối tượng quản lý; xử lý nghiêm những hành vi vi phạm pháp luật.</w:t>
      </w:r>
    </w:p>
    <w:p w:rsidR="001B0E47" w:rsidRDefault="001B0E47" w:rsidP="00EB73D8">
      <w:pPr>
        <w:spacing w:before="40" w:after="40" w:line="240" w:lineRule="auto"/>
        <w:rPr>
          <w:b/>
          <w:sz w:val="27"/>
          <w:szCs w:val="27"/>
        </w:rPr>
      </w:pPr>
      <w:r w:rsidRPr="00EB73D8">
        <w:rPr>
          <w:b/>
          <w:sz w:val="27"/>
          <w:szCs w:val="27"/>
        </w:rPr>
        <w:t>II. KẾT QUẢ ĐỔI MỚI MÔ HÌNH TĂNG TRƯỞNG, CƠ CẤU LẠI NGÀNH, LĨNH VỰC TRỌNG TÂM CỦA NỀN KINH TẾ GIAI ĐOẠN 2016-2018</w:t>
      </w:r>
    </w:p>
    <w:p w:rsidR="00EB73D8" w:rsidRPr="00EB73D8" w:rsidRDefault="00EB73D8" w:rsidP="00EB73D8">
      <w:pPr>
        <w:spacing w:before="40" w:after="40" w:line="240" w:lineRule="auto"/>
        <w:rPr>
          <w:b/>
          <w:sz w:val="27"/>
          <w:szCs w:val="27"/>
        </w:rPr>
      </w:pPr>
      <w:bookmarkStart w:id="0" w:name="_GoBack"/>
      <w:bookmarkEnd w:id="0"/>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48"/>
        <w:gridCol w:w="6831"/>
        <w:gridCol w:w="1876"/>
      </w:tblGrid>
      <w:tr w:rsidR="001B0E47" w:rsidRPr="00EB73D8" w:rsidTr="00790D6B">
        <w:trPr>
          <w:trHeight w:val="323"/>
          <w:tblHeader/>
        </w:trPr>
        <w:tc>
          <w:tcPr>
            <w:tcW w:w="648" w:type="dxa"/>
            <w:vAlign w:val="center"/>
          </w:tcPr>
          <w:p w:rsidR="001B0E47" w:rsidRPr="00EB73D8" w:rsidRDefault="001B0E47" w:rsidP="00EB73D8">
            <w:pPr>
              <w:spacing w:before="0" w:after="0" w:line="240" w:lineRule="auto"/>
              <w:ind w:firstLine="0"/>
              <w:jc w:val="center"/>
              <w:rPr>
                <w:rFonts w:eastAsia="Batang"/>
                <w:b/>
                <w:bCs/>
                <w:sz w:val="27"/>
                <w:szCs w:val="27"/>
                <w:lang w:val="en-GB" w:eastAsia="ko-KR"/>
              </w:rPr>
            </w:pPr>
            <w:r w:rsidRPr="00EB73D8">
              <w:rPr>
                <w:rFonts w:eastAsia="Batang"/>
                <w:b/>
                <w:bCs/>
                <w:sz w:val="27"/>
                <w:szCs w:val="27"/>
                <w:lang w:val="en-GB" w:eastAsia="ko-KR"/>
              </w:rPr>
              <w:t>TT</w:t>
            </w:r>
          </w:p>
        </w:tc>
        <w:tc>
          <w:tcPr>
            <w:tcW w:w="6831" w:type="dxa"/>
            <w:vAlign w:val="center"/>
            <w:hideMark/>
          </w:tcPr>
          <w:p w:rsidR="001B0E47" w:rsidRPr="00EB73D8" w:rsidRDefault="001B0E47" w:rsidP="00EB73D8">
            <w:pPr>
              <w:spacing w:before="0" w:after="0" w:line="240" w:lineRule="auto"/>
              <w:ind w:firstLine="0"/>
              <w:jc w:val="center"/>
              <w:rPr>
                <w:rFonts w:eastAsia="Batang"/>
                <w:b/>
                <w:sz w:val="27"/>
                <w:szCs w:val="27"/>
                <w:lang w:eastAsia="ko-KR"/>
              </w:rPr>
            </w:pPr>
            <w:r w:rsidRPr="00EB73D8">
              <w:rPr>
                <w:rFonts w:eastAsia="Batang"/>
                <w:b/>
                <w:bCs/>
                <w:sz w:val="27"/>
                <w:szCs w:val="27"/>
                <w:lang w:val="en-GB" w:eastAsia="ko-KR"/>
              </w:rPr>
              <w:t>Mục tiêu 2020</w:t>
            </w:r>
          </w:p>
        </w:tc>
        <w:tc>
          <w:tcPr>
            <w:tcW w:w="1876" w:type="dxa"/>
            <w:vAlign w:val="center"/>
          </w:tcPr>
          <w:p w:rsidR="001B0E47" w:rsidRPr="00EB73D8" w:rsidRDefault="001B0E47" w:rsidP="00EB73D8">
            <w:pPr>
              <w:spacing w:before="0" w:after="0" w:line="240" w:lineRule="auto"/>
              <w:ind w:firstLine="0"/>
              <w:jc w:val="center"/>
              <w:rPr>
                <w:rFonts w:eastAsia="Batang"/>
                <w:b/>
                <w:sz w:val="27"/>
                <w:szCs w:val="27"/>
                <w:lang w:eastAsia="ko-KR"/>
              </w:rPr>
            </w:pPr>
            <w:r w:rsidRPr="00EB73D8">
              <w:rPr>
                <w:rFonts w:eastAsia="Batang"/>
                <w:b/>
                <w:sz w:val="27"/>
                <w:szCs w:val="27"/>
                <w:lang w:eastAsia="ko-KR"/>
              </w:rPr>
              <w:t>Tình hình thực hiện</w:t>
            </w:r>
          </w:p>
        </w:tc>
      </w:tr>
      <w:tr w:rsidR="001B0E47" w:rsidRPr="00EB73D8" w:rsidTr="00790D6B">
        <w:trPr>
          <w:trHeight w:val="242"/>
        </w:trPr>
        <w:tc>
          <w:tcPr>
            <w:tcW w:w="648" w:type="dxa"/>
            <w:vAlign w:val="center"/>
          </w:tcPr>
          <w:p w:rsidR="001B0E47" w:rsidRPr="00EB73D8" w:rsidRDefault="001B0E47" w:rsidP="00EB73D8">
            <w:pPr>
              <w:spacing w:before="0" w:after="0" w:line="240" w:lineRule="auto"/>
              <w:ind w:firstLine="0"/>
              <w:jc w:val="left"/>
              <w:rPr>
                <w:rFonts w:eastAsia="Batang"/>
                <w:b/>
                <w:sz w:val="27"/>
                <w:szCs w:val="27"/>
                <w:lang w:val="en-GB" w:eastAsia="ko-KR"/>
              </w:rPr>
            </w:pPr>
            <w:r w:rsidRPr="00EB73D8">
              <w:rPr>
                <w:rFonts w:eastAsia="Batang"/>
                <w:b/>
                <w:sz w:val="27"/>
                <w:szCs w:val="27"/>
                <w:lang w:val="en-GB" w:eastAsia="ko-KR"/>
              </w:rPr>
              <w:t>I</w:t>
            </w:r>
          </w:p>
        </w:tc>
        <w:tc>
          <w:tcPr>
            <w:tcW w:w="6831" w:type="dxa"/>
            <w:vAlign w:val="center"/>
          </w:tcPr>
          <w:p w:rsidR="001B0E47" w:rsidRPr="00EB73D8" w:rsidRDefault="001B0E47" w:rsidP="00EB73D8">
            <w:pPr>
              <w:spacing w:before="0" w:after="0" w:line="240" w:lineRule="auto"/>
              <w:ind w:firstLine="0"/>
              <w:rPr>
                <w:rFonts w:eastAsia="Batang"/>
                <w:b/>
                <w:sz w:val="27"/>
                <w:szCs w:val="27"/>
                <w:lang w:val="en-GB" w:eastAsia="ko-KR"/>
              </w:rPr>
            </w:pPr>
            <w:r w:rsidRPr="00EB73D8">
              <w:rPr>
                <w:rFonts w:eastAsia="Batang"/>
                <w:b/>
                <w:sz w:val="27"/>
                <w:szCs w:val="27"/>
                <w:lang w:val="en-GB" w:eastAsia="ko-KR"/>
              </w:rPr>
              <w:t>Cơ cấu lại DNNN, doanh nghiệp có vốn nhà nước</w:t>
            </w:r>
          </w:p>
        </w:tc>
        <w:tc>
          <w:tcPr>
            <w:tcW w:w="1876" w:type="dxa"/>
            <w:vAlign w:val="center"/>
          </w:tcPr>
          <w:p w:rsidR="001B0E47" w:rsidRPr="00EB73D8" w:rsidRDefault="001B0E47" w:rsidP="00EB73D8">
            <w:pPr>
              <w:spacing w:before="0" w:after="0" w:line="240" w:lineRule="auto"/>
              <w:ind w:firstLine="0"/>
              <w:rPr>
                <w:rFonts w:eastAsia="Batang"/>
                <w:b/>
                <w:sz w:val="27"/>
                <w:szCs w:val="27"/>
                <w:lang w:eastAsia="ko-KR"/>
              </w:rPr>
            </w:pPr>
          </w:p>
        </w:tc>
      </w:tr>
      <w:tr w:rsidR="001B0E47" w:rsidRPr="00EB73D8" w:rsidTr="00790D6B">
        <w:trPr>
          <w:trHeight w:val="332"/>
        </w:trPr>
        <w:tc>
          <w:tcPr>
            <w:tcW w:w="648" w:type="dxa"/>
            <w:vAlign w:val="center"/>
          </w:tcPr>
          <w:p w:rsidR="001B0E47" w:rsidRPr="00EB73D8" w:rsidRDefault="001B0E47" w:rsidP="00EB73D8">
            <w:pPr>
              <w:spacing w:before="0" w:after="0" w:line="240" w:lineRule="auto"/>
              <w:ind w:firstLine="0"/>
              <w:jc w:val="left"/>
              <w:rPr>
                <w:rFonts w:eastAsia="Batang"/>
                <w:sz w:val="27"/>
                <w:szCs w:val="27"/>
                <w:lang w:val="en-GB" w:eastAsia="ko-KR"/>
              </w:rPr>
            </w:pPr>
            <w:r w:rsidRPr="00EB73D8">
              <w:rPr>
                <w:rFonts w:eastAsia="Batang"/>
                <w:sz w:val="27"/>
                <w:szCs w:val="27"/>
                <w:lang w:val="en-GB" w:eastAsia="ko-KR"/>
              </w:rPr>
              <w:t>1</w:t>
            </w:r>
          </w:p>
        </w:tc>
        <w:tc>
          <w:tcPr>
            <w:tcW w:w="6831" w:type="dxa"/>
            <w:vAlign w:val="center"/>
            <w:hideMark/>
          </w:tcPr>
          <w:p w:rsidR="001B0E47" w:rsidRPr="00EB73D8" w:rsidRDefault="001B0E47" w:rsidP="00EB73D8">
            <w:pPr>
              <w:spacing w:before="0" w:after="0" w:line="240" w:lineRule="auto"/>
              <w:ind w:firstLine="0"/>
              <w:rPr>
                <w:rFonts w:eastAsia="Batang"/>
                <w:sz w:val="27"/>
                <w:szCs w:val="27"/>
                <w:lang w:eastAsia="ko-KR"/>
              </w:rPr>
            </w:pPr>
            <w:r w:rsidRPr="00EB73D8">
              <w:rPr>
                <w:rFonts w:eastAsia="Batang"/>
                <w:sz w:val="27"/>
                <w:szCs w:val="27"/>
                <w:lang w:val="en-GB" w:eastAsia="ko-KR"/>
              </w:rPr>
              <w:t>Thoái vốn khỏi các DN thuộc các ngành không cần nắm giữ trên 50%</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242"/>
        </w:trPr>
        <w:tc>
          <w:tcPr>
            <w:tcW w:w="648" w:type="dxa"/>
            <w:vAlign w:val="center"/>
          </w:tcPr>
          <w:p w:rsidR="001B0E47" w:rsidRPr="00EB73D8" w:rsidRDefault="001B0E47" w:rsidP="00EB73D8">
            <w:pPr>
              <w:spacing w:before="0" w:after="0" w:line="240" w:lineRule="auto"/>
              <w:ind w:firstLine="0"/>
              <w:jc w:val="left"/>
              <w:rPr>
                <w:rFonts w:eastAsia="Batang"/>
                <w:sz w:val="27"/>
                <w:szCs w:val="27"/>
                <w:lang w:val="en-GB" w:eastAsia="ko-KR"/>
              </w:rPr>
            </w:pPr>
            <w:r w:rsidRPr="00EB73D8">
              <w:rPr>
                <w:rFonts w:eastAsia="Batang"/>
                <w:sz w:val="27"/>
                <w:szCs w:val="27"/>
                <w:lang w:val="en-GB" w:eastAsia="ko-KR"/>
              </w:rPr>
              <w:t>2</w:t>
            </w:r>
          </w:p>
        </w:tc>
        <w:tc>
          <w:tcPr>
            <w:tcW w:w="6831" w:type="dxa"/>
            <w:vAlign w:val="center"/>
            <w:hideMark/>
          </w:tcPr>
          <w:p w:rsidR="001B0E47" w:rsidRPr="00EB73D8" w:rsidRDefault="001B0E47" w:rsidP="00EB73D8">
            <w:pPr>
              <w:spacing w:before="0" w:after="0" w:line="240" w:lineRule="auto"/>
              <w:ind w:firstLine="0"/>
              <w:rPr>
                <w:rFonts w:eastAsia="Batang"/>
                <w:sz w:val="27"/>
                <w:szCs w:val="27"/>
                <w:lang w:eastAsia="ko-KR"/>
              </w:rPr>
            </w:pPr>
            <w:r w:rsidRPr="00EB73D8">
              <w:rPr>
                <w:rFonts w:eastAsia="Batang"/>
                <w:sz w:val="27"/>
                <w:szCs w:val="27"/>
                <w:lang w:val="en-GB" w:eastAsia="ko-KR"/>
              </w:rPr>
              <w:t>Thoái vốn xuống mức sàn quy định tại các DN đã cổ phần hóa</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224"/>
        </w:trPr>
        <w:tc>
          <w:tcPr>
            <w:tcW w:w="648" w:type="dxa"/>
            <w:vAlign w:val="center"/>
          </w:tcPr>
          <w:p w:rsidR="001B0E47" w:rsidRPr="00EB73D8" w:rsidRDefault="001B0E47" w:rsidP="00EB73D8">
            <w:pPr>
              <w:spacing w:before="0" w:after="0" w:line="240" w:lineRule="auto"/>
              <w:ind w:firstLine="0"/>
              <w:jc w:val="left"/>
              <w:rPr>
                <w:rFonts w:eastAsia="Batang"/>
                <w:sz w:val="27"/>
                <w:szCs w:val="27"/>
                <w:lang w:eastAsia="ko-KR"/>
              </w:rPr>
            </w:pPr>
            <w:r w:rsidRPr="00EB73D8">
              <w:rPr>
                <w:rFonts w:eastAsia="Batang"/>
                <w:sz w:val="27"/>
                <w:szCs w:val="27"/>
                <w:lang w:eastAsia="ko-KR"/>
              </w:rPr>
              <w:t>3</w:t>
            </w:r>
          </w:p>
        </w:tc>
        <w:tc>
          <w:tcPr>
            <w:tcW w:w="6831" w:type="dxa"/>
            <w:vAlign w:val="center"/>
            <w:hideMark/>
          </w:tcPr>
          <w:p w:rsidR="001B0E47" w:rsidRPr="00EB73D8" w:rsidRDefault="001B0E47" w:rsidP="00EB73D8">
            <w:pPr>
              <w:spacing w:before="0" w:after="0" w:line="240" w:lineRule="auto"/>
              <w:ind w:firstLine="0"/>
              <w:rPr>
                <w:rFonts w:eastAsia="Batang"/>
                <w:sz w:val="27"/>
                <w:szCs w:val="27"/>
                <w:lang w:eastAsia="ko-KR"/>
              </w:rPr>
            </w:pPr>
            <w:r w:rsidRPr="00EB73D8">
              <w:rPr>
                <w:rFonts w:eastAsia="Batang"/>
                <w:sz w:val="27"/>
                <w:szCs w:val="27"/>
                <w:lang w:eastAsia="ko-KR"/>
              </w:rPr>
              <w:t>Số lượng doanh nghiệp nhà nước được cổ phần hóa</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215"/>
        </w:trPr>
        <w:tc>
          <w:tcPr>
            <w:tcW w:w="648" w:type="dxa"/>
            <w:vAlign w:val="center"/>
          </w:tcPr>
          <w:p w:rsidR="001B0E47" w:rsidRPr="00EB73D8" w:rsidRDefault="001B0E47" w:rsidP="00EB73D8">
            <w:pPr>
              <w:spacing w:before="0" w:after="0" w:line="240" w:lineRule="auto"/>
              <w:ind w:firstLine="0"/>
              <w:jc w:val="left"/>
              <w:rPr>
                <w:rFonts w:eastAsia="Batang"/>
                <w:sz w:val="27"/>
                <w:szCs w:val="27"/>
                <w:lang w:val="en-GB" w:eastAsia="ko-KR"/>
              </w:rPr>
            </w:pPr>
            <w:r w:rsidRPr="00EB73D8">
              <w:rPr>
                <w:rFonts w:eastAsia="Batang"/>
                <w:sz w:val="27"/>
                <w:szCs w:val="27"/>
                <w:lang w:val="en-GB" w:eastAsia="ko-KR"/>
              </w:rPr>
              <w:t>4</w:t>
            </w:r>
          </w:p>
        </w:tc>
        <w:tc>
          <w:tcPr>
            <w:tcW w:w="6831" w:type="dxa"/>
            <w:vAlign w:val="center"/>
            <w:hideMark/>
          </w:tcPr>
          <w:p w:rsidR="001B0E47" w:rsidRPr="00EB73D8" w:rsidRDefault="001B0E47" w:rsidP="00EB73D8">
            <w:pPr>
              <w:spacing w:before="0" w:after="0" w:line="240" w:lineRule="auto"/>
              <w:ind w:firstLine="0"/>
              <w:rPr>
                <w:rFonts w:eastAsia="Batang"/>
                <w:sz w:val="27"/>
                <w:szCs w:val="27"/>
                <w:lang w:eastAsia="ko-KR"/>
              </w:rPr>
            </w:pPr>
            <w:r w:rsidRPr="00EB73D8">
              <w:rPr>
                <w:rFonts w:eastAsia="Batang"/>
                <w:sz w:val="27"/>
                <w:szCs w:val="27"/>
                <w:lang w:val="en-GB" w:eastAsia="ko-KR"/>
              </w:rPr>
              <w:t>Số tiền thu được từ thoái vốn nhà n</w:t>
            </w:r>
            <w:r w:rsidRPr="00EB73D8">
              <w:rPr>
                <w:rFonts w:eastAsia="Batang"/>
                <w:sz w:val="27"/>
                <w:szCs w:val="27"/>
                <w:lang w:val="vi-VN" w:eastAsia="ko-KR"/>
              </w:rPr>
              <w:t>ư</w:t>
            </w:r>
            <w:r w:rsidRPr="00EB73D8">
              <w:rPr>
                <w:rFonts w:eastAsia="Batang"/>
                <w:sz w:val="27"/>
                <w:szCs w:val="27"/>
                <w:lang w:val="en-GB" w:eastAsia="ko-KR"/>
              </w:rPr>
              <w:t>ớc</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377"/>
        </w:trPr>
        <w:tc>
          <w:tcPr>
            <w:tcW w:w="648" w:type="dxa"/>
            <w:vAlign w:val="center"/>
          </w:tcPr>
          <w:p w:rsidR="001B0E47" w:rsidRPr="00EB73D8" w:rsidRDefault="001B0E47" w:rsidP="00EB73D8">
            <w:pPr>
              <w:spacing w:before="0" w:after="0" w:line="240" w:lineRule="auto"/>
              <w:ind w:firstLine="0"/>
              <w:jc w:val="left"/>
              <w:rPr>
                <w:rFonts w:eastAsia="Batang"/>
                <w:kern w:val="24"/>
                <w:sz w:val="27"/>
                <w:szCs w:val="27"/>
                <w:lang w:val="en-GB" w:eastAsia="ko-KR"/>
              </w:rPr>
            </w:pPr>
            <w:r w:rsidRPr="00EB73D8">
              <w:rPr>
                <w:rFonts w:eastAsia="Batang"/>
                <w:kern w:val="24"/>
                <w:sz w:val="27"/>
                <w:szCs w:val="27"/>
                <w:lang w:val="en-GB" w:eastAsia="ko-KR"/>
              </w:rPr>
              <w:t>5</w:t>
            </w:r>
          </w:p>
        </w:tc>
        <w:tc>
          <w:tcPr>
            <w:tcW w:w="6831" w:type="dxa"/>
            <w:vAlign w:val="center"/>
          </w:tcPr>
          <w:p w:rsidR="001B0E47" w:rsidRPr="00EB73D8" w:rsidRDefault="001B0E47" w:rsidP="00EB73D8">
            <w:pPr>
              <w:spacing w:before="0" w:after="0" w:line="240" w:lineRule="auto"/>
              <w:ind w:firstLine="0"/>
              <w:rPr>
                <w:rFonts w:eastAsia="Batang"/>
                <w:sz w:val="27"/>
                <w:szCs w:val="27"/>
                <w:lang w:val="en-GB" w:eastAsia="ko-KR"/>
              </w:rPr>
            </w:pPr>
            <w:r w:rsidRPr="00EB73D8">
              <w:rPr>
                <w:rFonts w:eastAsia="Batang"/>
                <w:kern w:val="24"/>
                <w:sz w:val="27"/>
                <w:szCs w:val="27"/>
                <w:lang w:val="en-GB" w:eastAsia="ko-KR"/>
              </w:rPr>
              <w:t>N</w:t>
            </w:r>
            <w:r w:rsidRPr="00EB73D8">
              <w:rPr>
                <w:rFonts w:eastAsia="Batang"/>
                <w:kern w:val="24"/>
                <w:sz w:val="27"/>
                <w:szCs w:val="27"/>
                <w:lang w:val="vi-VN" w:eastAsia="ko-KR"/>
              </w:rPr>
              <w:t>âng cao một bước quan trọng hiệu quả sản xuất kinh doanh</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431"/>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eastAsia="ko-KR"/>
              </w:rPr>
            </w:pPr>
            <w:r w:rsidRPr="00EB73D8">
              <w:rPr>
                <w:rFonts w:eastAsia="Batang"/>
                <w:bCs/>
                <w:kern w:val="24"/>
                <w:sz w:val="27"/>
                <w:szCs w:val="27"/>
                <w:lang w:eastAsia="ko-KR"/>
              </w:rPr>
              <w:t>6</w:t>
            </w:r>
          </w:p>
        </w:tc>
        <w:tc>
          <w:tcPr>
            <w:tcW w:w="6831" w:type="dxa"/>
            <w:vAlign w:val="center"/>
          </w:tcPr>
          <w:p w:rsidR="001B0E47" w:rsidRPr="00EB73D8" w:rsidRDefault="001B0E47" w:rsidP="00EB73D8">
            <w:pPr>
              <w:spacing w:before="0" w:after="0" w:line="240" w:lineRule="auto"/>
              <w:ind w:firstLine="0"/>
              <w:rPr>
                <w:rFonts w:eastAsia="Batang"/>
                <w:sz w:val="27"/>
                <w:szCs w:val="27"/>
                <w:lang w:val="en-GB" w:eastAsia="ko-KR"/>
              </w:rPr>
            </w:pPr>
            <w:r w:rsidRPr="00EB73D8">
              <w:rPr>
                <w:rFonts w:eastAsia="Batang"/>
                <w:bCs/>
                <w:kern w:val="24"/>
                <w:sz w:val="27"/>
                <w:szCs w:val="27"/>
                <w:lang w:val="en-GB" w:eastAsia="ko-KR"/>
              </w:rPr>
              <w:t>Nâng cao</w:t>
            </w:r>
            <w:r w:rsidRPr="00EB73D8">
              <w:rPr>
                <w:rFonts w:eastAsia="Batang"/>
                <w:bCs/>
                <w:kern w:val="24"/>
                <w:sz w:val="27"/>
                <w:szCs w:val="27"/>
                <w:lang w:val="vi-VN" w:eastAsia="ko-KR"/>
              </w:rPr>
              <w:t xml:space="preserve"> chất lượng sản phẩm, năng lực cạnh tranh của </w:t>
            </w:r>
            <w:r w:rsidRPr="00EB73D8">
              <w:rPr>
                <w:rFonts w:eastAsia="Batang"/>
                <w:bCs/>
                <w:kern w:val="24"/>
                <w:sz w:val="27"/>
                <w:szCs w:val="27"/>
                <w:lang w:eastAsia="ko-KR"/>
              </w:rPr>
              <w:t>DNNN</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161"/>
        </w:trPr>
        <w:tc>
          <w:tcPr>
            <w:tcW w:w="648" w:type="dxa"/>
            <w:vAlign w:val="center"/>
          </w:tcPr>
          <w:p w:rsidR="001B0E47" w:rsidRPr="00EB73D8" w:rsidRDefault="001B0E47" w:rsidP="00EB73D8">
            <w:pPr>
              <w:spacing w:before="0" w:after="0" w:line="240" w:lineRule="auto"/>
              <w:ind w:firstLine="0"/>
              <w:jc w:val="left"/>
              <w:rPr>
                <w:rFonts w:eastAsia="Batang"/>
                <w:b/>
                <w:sz w:val="27"/>
                <w:szCs w:val="27"/>
                <w:lang w:val="en-GB" w:eastAsia="ko-KR"/>
              </w:rPr>
            </w:pPr>
            <w:r w:rsidRPr="00EB73D8">
              <w:rPr>
                <w:rFonts w:eastAsia="Batang"/>
                <w:b/>
                <w:sz w:val="27"/>
                <w:szCs w:val="27"/>
                <w:lang w:val="en-GB" w:eastAsia="ko-KR"/>
              </w:rPr>
              <w:t>II</w:t>
            </w:r>
          </w:p>
        </w:tc>
        <w:tc>
          <w:tcPr>
            <w:tcW w:w="6831" w:type="dxa"/>
            <w:vAlign w:val="center"/>
          </w:tcPr>
          <w:p w:rsidR="001B0E47" w:rsidRPr="00EB73D8" w:rsidRDefault="001B0E47" w:rsidP="00EB73D8">
            <w:pPr>
              <w:spacing w:before="0" w:after="0" w:line="240" w:lineRule="auto"/>
              <w:ind w:firstLine="0"/>
              <w:rPr>
                <w:rFonts w:eastAsia="Batang"/>
                <w:b/>
                <w:sz w:val="27"/>
                <w:szCs w:val="27"/>
                <w:lang w:val="en-GB" w:eastAsia="ko-KR"/>
              </w:rPr>
            </w:pPr>
            <w:r w:rsidRPr="00EB73D8">
              <w:rPr>
                <w:rFonts w:eastAsia="Batang"/>
                <w:b/>
                <w:sz w:val="27"/>
                <w:szCs w:val="27"/>
                <w:lang w:val="en-GB" w:eastAsia="ko-KR"/>
              </w:rPr>
              <w:t>Cơ cấu lại đầu tư, trọng tâm là đầu tư công</w:t>
            </w:r>
          </w:p>
        </w:tc>
        <w:tc>
          <w:tcPr>
            <w:tcW w:w="1876" w:type="dxa"/>
            <w:vAlign w:val="center"/>
          </w:tcPr>
          <w:p w:rsidR="001B0E47" w:rsidRPr="00EB73D8" w:rsidRDefault="001B0E47" w:rsidP="00EB73D8">
            <w:pPr>
              <w:spacing w:before="0" w:after="0" w:line="240" w:lineRule="auto"/>
              <w:ind w:firstLine="0"/>
              <w:rPr>
                <w:rFonts w:eastAsia="Batang"/>
                <w:b/>
                <w:sz w:val="27"/>
                <w:szCs w:val="27"/>
                <w:lang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1</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Tỷ trọng đầu tư nhà nước trong tổng đầu tư xã hội trên địa bàn</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2</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Tỷ lệ giải ngân vốn đầu tư công trên địa bàn hàng năm</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1070"/>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3</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Thu hút tối đa và sử dụng có hiệu quả các nguồn lực đầu tư phát triển, tập trung vào các ngành, lĩnh vực then chốt của nền kinh tế, các công trình, dự án trọng điểm, có sức lan tỏa rộng và tạo động lực phát triển kinh tế- xã hội của cả nước</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404"/>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4</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Tạo đột phá thu hút nguồn vốn tư nhân trong và ngoài nước theo hình thức PPP</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458"/>
        </w:trPr>
        <w:tc>
          <w:tcPr>
            <w:tcW w:w="648" w:type="dxa"/>
            <w:vAlign w:val="center"/>
          </w:tcPr>
          <w:p w:rsidR="001B0E47" w:rsidRPr="00EB73D8" w:rsidRDefault="001B0E47" w:rsidP="00EB73D8">
            <w:pPr>
              <w:spacing w:before="0" w:after="0" w:line="240" w:lineRule="auto"/>
              <w:ind w:firstLine="0"/>
              <w:jc w:val="left"/>
              <w:rPr>
                <w:rFonts w:eastAsia="Batang"/>
                <w:b/>
                <w:bCs/>
                <w:kern w:val="24"/>
                <w:sz w:val="27"/>
                <w:szCs w:val="27"/>
                <w:lang w:val="en-GB" w:eastAsia="ko-KR"/>
              </w:rPr>
            </w:pPr>
            <w:r w:rsidRPr="00EB73D8">
              <w:rPr>
                <w:rFonts w:eastAsia="Batang"/>
                <w:b/>
                <w:bCs/>
                <w:kern w:val="24"/>
                <w:sz w:val="27"/>
                <w:szCs w:val="27"/>
                <w:lang w:val="en-GB" w:eastAsia="ko-KR"/>
              </w:rPr>
              <w:lastRenderedPageBreak/>
              <w:t>IV</w:t>
            </w:r>
          </w:p>
        </w:tc>
        <w:tc>
          <w:tcPr>
            <w:tcW w:w="6831" w:type="dxa"/>
            <w:vAlign w:val="center"/>
          </w:tcPr>
          <w:p w:rsidR="001B0E47" w:rsidRPr="00EB73D8" w:rsidRDefault="001B0E47" w:rsidP="00EB73D8">
            <w:pPr>
              <w:spacing w:before="0" w:after="0" w:line="240" w:lineRule="auto"/>
              <w:ind w:firstLine="0"/>
              <w:rPr>
                <w:rFonts w:eastAsia="Batang"/>
                <w:b/>
                <w:bCs/>
                <w:kern w:val="24"/>
                <w:sz w:val="27"/>
                <w:szCs w:val="27"/>
                <w:lang w:val="en-GB" w:eastAsia="ko-KR"/>
              </w:rPr>
            </w:pPr>
            <w:r w:rsidRPr="00EB73D8">
              <w:rPr>
                <w:rFonts w:eastAsia="Batang"/>
                <w:b/>
                <w:bCs/>
                <w:kern w:val="24"/>
                <w:sz w:val="27"/>
                <w:szCs w:val="27"/>
                <w:lang w:val="en-GB" w:eastAsia="ko-KR"/>
              </w:rPr>
              <w:t>Kết quả cơ cấu lại các ngành công nghiệp</w:t>
            </w:r>
          </w:p>
        </w:tc>
        <w:tc>
          <w:tcPr>
            <w:tcW w:w="1876" w:type="dxa"/>
            <w:vAlign w:val="center"/>
          </w:tcPr>
          <w:p w:rsidR="001B0E47" w:rsidRPr="00EB73D8" w:rsidRDefault="001B0E47" w:rsidP="00EB73D8">
            <w:pPr>
              <w:spacing w:before="0" w:after="0" w:line="240" w:lineRule="auto"/>
              <w:ind w:firstLine="0"/>
              <w:rPr>
                <w:rFonts w:eastAsia="Batang"/>
                <w:b/>
                <w:bCs/>
                <w:kern w:val="24"/>
                <w:sz w:val="27"/>
                <w:szCs w:val="27"/>
                <w:lang w:val="en-GB" w:eastAsia="ko-KR"/>
              </w:rPr>
            </w:pPr>
          </w:p>
        </w:tc>
      </w:tr>
      <w:tr w:rsidR="001B0E47" w:rsidRPr="00EB73D8" w:rsidTr="00790D6B">
        <w:trPr>
          <w:trHeight w:val="296"/>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1</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Tỉ trọng công nghiệp và xây dựng trong tổng giá trị sản xuất, tốc độ tăng trưởng công nghiệp so với tốc độ tăng trưởng giá trị sản xuất</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3</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Tỷ trọng lao động trong công nghiệp và xây dựng</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359"/>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4</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Tốc độ tăng trưởng đầu tư trong công nghiệp (không bao gồm xây dựng) so với bình quân toàn xã hội</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422"/>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5</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Tốc độ tăng trưởng số lượng doanh nghiệp trong công nghiệp (không bao gồm xây dựng) so với bình quân toàn xã hội</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143"/>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6</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Tốc độ tăng năng suất lao động trong ngành công nghiệp hàng năm (không bao gồm xây dựng)</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548"/>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7</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Hình thành thí điểm một số cụm liên kết ngành công nghiệp trong các ngành công nghiệp ưu tiên</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458"/>
        </w:trPr>
        <w:tc>
          <w:tcPr>
            <w:tcW w:w="648" w:type="dxa"/>
            <w:vAlign w:val="center"/>
          </w:tcPr>
          <w:p w:rsidR="001B0E47" w:rsidRPr="00EB73D8" w:rsidRDefault="001B0E47" w:rsidP="00EB73D8">
            <w:pPr>
              <w:spacing w:before="0" w:after="0" w:line="240" w:lineRule="auto"/>
              <w:ind w:firstLine="0"/>
              <w:jc w:val="left"/>
              <w:rPr>
                <w:rFonts w:eastAsia="Batang"/>
                <w:b/>
                <w:bCs/>
                <w:kern w:val="24"/>
                <w:sz w:val="27"/>
                <w:szCs w:val="27"/>
                <w:lang w:val="en-GB" w:eastAsia="ko-KR"/>
              </w:rPr>
            </w:pPr>
            <w:r w:rsidRPr="00EB73D8">
              <w:rPr>
                <w:rFonts w:eastAsia="Batang"/>
                <w:b/>
                <w:bCs/>
                <w:kern w:val="24"/>
                <w:sz w:val="27"/>
                <w:szCs w:val="27"/>
                <w:lang w:val="en-GB" w:eastAsia="ko-KR"/>
              </w:rPr>
              <w:t>IV</w:t>
            </w:r>
          </w:p>
        </w:tc>
        <w:tc>
          <w:tcPr>
            <w:tcW w:w="6831" w:type="dxa"/>
            <w:vAlign w:val="center"/>
          </w:tcPr>
          <w:p w:rsidR="001B0E47" w:rsidRPr="00EB73D8" w:rsidRDefault="001B0E47" w:rsidP="00EB73D8">
            <w:pPr>
              <w:spacing w:before="0" w:after="0" w:line="240" w:lineRule="auto"/>
              <w:ind w:firstLine="0"/>
              <w:rPr>
                <w:rFonts w:eastAsia="Batang"/>
                <w:b/>
                <w:bCs/>
                <w:kern w:val="24"/>
                <w:sz w:val="27"/>
                <w:szCs w:val="27"/>
                <w:lang w:val="en-GB" w:eastAsia="ko-KR"/>
              </w:rPr>
            </w:pPr>
            <w:r w:rsidRPr="00EB73D8">
              <w:rPr>
                <w:rFonts w:eastAsia="Batang"/>
                <w:b/>
                <w:bCs/>
                <w:kern w:val="24"/>
                <w:sz w:val="27"/>
                <w:szCs w:val="27"/>
                <w:lang w:val="en-GB" w:eastAsia="ko-KR"/>
              </w:rPr>
              <w:t>Kết quả cơ cấu lại nông nghiệp gắn với xây dựng nông thôn mới</w:t>
            </w:r>
          </w:p>
        </w:tc>
        <w:tc>
          <w:tcPr>
            <w:tcW w:w="1876" w:type="dxa"/>
            <w:vAlign w:val="center"/>
          </w:tcPr>
          <w:p w:rsidR="001B0E47" w:rsidRPr="00EB73D8" w:rsidRDefault="001B0E47" w:rsidP="00EB73D8">
            <w:pPr>
              <w:spacing w:before="0" w:after="0" w:line="240" w:lineRule="auto"/>
              <w:ind w:firstLine="0"/>
              <w:rPr>
                <w:rFonts w:eastAsia="Batang"/>
                <w:b/>
                <w:bCs/>
                <w:kern w:val="24"/>
                <w:sz w:val="27"/>
                <w:szCs w:val="27"/>
                <w:lang w:val="en-GB" w:eastAsia="ko-KR"/>
              </w:rPr>
            </w:pPr>
          </w:p>
        </w:tc>
      </w:tr>
      <w:tr w:rsidR="001B0E47" w:rsidRPr="00EB73D8" w:rsidTr="00790D6B">
        <w:trPr>
          <w:trHeight w:val="4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1</w:t>
            </w:r>
          </w:p>
        </w:tc>
        <w:tc>
          <w:tcPr>
            <w:tcW w:w="6831" w:type="dxa"/>
            <w:vAlign w:val="center"/>
          </w:tcPr>
          <w:p w:rsidR="001B0E47" w:rsidRPr="00EB73D8" w:rsidRDefault="001B0E47" w:rsidP="00EB73D8">
            <w:pPr>
              <w:spacing w:before="0" w:after="0" w:line="240" w:lineRule="auto"/>
              <w:ind w:firstLine="0"/>
              <w:rPr>
                <w:rFonts w:eastAsia="Batang"/>
                <w:bCs/>
                <w:spacing w:val="-4"/>
                <w:kern w:val="24"/>
                <w:sz w:val="27"/>
                <w:szCs w:val="27"/>
                <w:lang w:val="en-GB" w:eastAsia="ko-KR"/>
              </w:rPr>
            </w:pPr>
            <w:r w:rsidRPr="00EB73D8">
              <w:rPr>
                <w:rFonts w:eastAsia="Batang"/>
                <w:bCs/>
                <w:spacing w:val="-4"/>
                <w:kern w:val="24"/>
                <w:sz w:val="27"/>
                <w:szCs w:val="27"/>
                <w:lang w:val="en-GB" w:eastAsia="ko-KR"/>
              </w:rPr>
              <w:t>Tốc độ tăng giá trị sản xuất ngành nông- lâm- thủy sản</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12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2</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sz w:val="27"/>
                <w:szCs w:val="27"/>
                <w:lang w:eastAsia="ko-KR"/>
              </w:rPr>
              <w:t>Tốc độ tăng năng suất lao động ngành nông- lâm- thủy sản</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278"/>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3</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sz w:val="27"/>
                <w:szCs w:val="27"/>
                <w:lang w:eastAsia="ko-KR"/>
              </w:rPr>
              <w:t>Tỷ trọng lao động nông nghiệp hàng năm</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260"/>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4</w:t>
            </w:r>
          </w:p>
        </w:tc>
        <w:tc>
          <w:tcPr>
            <w:tcW w:w="6831" w:type="dxa"/>
            <w:vAlign w:val="center"/>
          </w:tcPr>
          <w:p w:rsidR="001B0E47" w:rsidRPr="00EB73D8" w:rsidRDefault="001B0E47" w:rsidP="00EB73D8">
            <w:pPr>
              <w:spacing w:before="0" w:after="0" w:line="240" w:lineRule="auto"/>
              <w:ind w:firstLine="0"/>
              <w:rPr>
                <w:rFonts w:eastAsia="Batang"/>
                <w:bCs/>
                <w:spacing w:val="-6"/>
                <w:kern w:val="24"/>
                <w:sz w:val="27"/>
                <w:szCs w:val="27"/>
                <w:lang w:val="en-GB" w:eastAsia="ko-KR"/>
              </w:rPr>
            </w:pPr>
            <w:r w:rsidRPr="00EB73D8">
              <w:rPr>
                <w:rFonts w:eastAsia="Batang"/>
                <w:spacing w:val="-6"/>
                <w:sz w:val="27"/>
                <w:szCs w:val="27"/>
                <w:lang w:eastAsia="ko-KR"/>
              </w:rPr>
              <w:t>Lao động nông nghiệp được đào tạo trong tổng số lao động</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9"/>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5</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sz w:val="27"/>
                <w:szCs w:val="27"/>
                <w:lang w:eastAsia="ko-KR"/>
              </w:rPr>
              <w:t>Thu nhập dân cư nông thôn hàng năm từ 2015-2018</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6</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sz w:val="27"/>
                <w:szCs w:val="27"/>
                <w:lang w:eastAsia="ko-KR"/>
              </w:rPr>
              <w:t>Số hợp tác xã nông nghiệp trên địa bàn</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170"/>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7</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sz w:val="27"/>
                <w:szCs w:val="27"/>
                <w:lang w:eastAsia="ko-KR"/>
              </w:rPr>
              <w:t>Số xã đạt tiêu chuẩn nông thôn mới và tỷ lệ so với tổng số xã của địa phương</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422"/>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1</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sz w:val="27"/>
                <w:szCs w:val="27"/>
                <w:lang w:eastAsia="ko-KR"/>
              </w:rPr>
              <w:t>Phát triển sản phẩm có lợi thế so sánh, giá trị gia tăng cao, bảo đảm các tiêu chuẩn theo yêu cầu xuất khẩu, có khả năng tham gia hiệu quả vào chuỗi giá trị toàn cầu</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134"/>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2</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Tổ chức lại sản xuất, tăng cường liên kết theo chuỗi giá trị</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
                <w:bCs/>
                <w:kern w:val="24"/>
                <w:sz w:val="27"/>
                <w:szCs w:val="27"/>
                <w:lang w:val="en-GB" w:eastAsia="ko-KR"/>
              </w:rPr>
            </w:pPr>
            <w:r w:rsidRPr="00EB73D8">
              <w:rPr>
                <w:rFonts w:eastAsia="Batang"/>
                <w:b/>
                <w:bCs/>
                <w:kern w:val="24"/>
                <w:sz w:val="27"/>
                <w:szCs w:val="27"/>
                <w:lang w:val="en-GB" w:eastAsia="ko-KR"/>
              </w:rPr>
              <w:t>V</w:t>
            </w:r>
          </w:p>
        </w:tc>
        <w:tc>
          <w:tcPr>
            <w:tcW w:w="6831" w:type="dxa"/>
            <w:vAlign w:val="center"/>
          </w:tcPr>
          <w:p w:rsidR="001B0E47" w:rsidRPr="00EB73D8" w:rsidRDefault="001B0E47" w:rsidP="00EB73D8">
            <w:pPr>
              <w:spacing w:before="0" w:after="0" w:line="240" w:lineRule="auto"/>
              <w:ind w:firstLine="0"/>
              <w:rPr>
                <w:rFonts w:eastAsia="Batang"/>
                <w:b/>
                <w:bCs/>
                <w:kern w:val="24"/>
                <w:sz w:val="27"/>
                <w:szCs w:val="27"/>
                <w:lang w:val="en-GB" w:eastAsia="ko-KR"/>
              </w:rPr>
            </w:pPr>
            <w:r w:rsidRPr="00EB73D8">
              <w:rPr>
                <w:rFonts w:eastAsia="Batang"/>
                <w:b/>
                <w:bCs/>
                <w:kern w:val="24"/>
                <w:sz w:val="27"/>
                <w:szCs w:val="27"/>
                <w:lang w:val="en-GB" w:eastAsia="ko-KR"/>
              </w:rPr>
              <w:t>Kết quả cơ cấu lại các ngành dịch vụ</w:t>
            </w:r>
          </w:p>
        </w:tc>
        <w:tc>
          <w:tcPr>
            <w:tcW w:w="1876" w:type="dxa"/>
            <w:vAlign w:val="center"/>
          </w:tcPr>
          <w:p w:rsidR="001B0E47" w:rsidRPr="00EB73D8" w:rsidRDefault="001B0E47" w:rsidP="00EB73D8">
            <w:pPr>
              <w:spacing w:before="0" w:after="0" w:line="240" w:lineRule="auto"/>
              <w:ind w:firstLine="0"/>
              <w:rPr>
                <w:rFonts w:eastAsia="Batang"/>
                <w:b/>
                <w:bCs/>
                <w:kern w:val="24"/>
                <w:sz w:val="27"/>
                <w:szCs w:val="27"/>
                <w:lang w:val="en-GB" w:eastAsia="ko-KR"/>
              </w:rPr>
            </w:pPr>
          </w:p>
        </w:tc>
      </w:tr>
      <w:tr w:rsidR="001B0E47" w:rsidRPr="00EB73D8" w:rsidTr="00790D6B">
        <w:trPr>
          <w:trHeight w:val="278"/>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1</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Tốc độ tăng trưởng giá trị sản xuất của khu vực dịch vụ so với bình quân chung của nền kinh tế</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458"/>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2</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Tỷ trọng giá trị sản xuất của khu vực dịch vụ</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2</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Phát triển và nâng cao chất lượng các dịch vụ hỗ trợ kinh doanh</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r w:rsidR="001B0E47" w:rsidRPr="00EB73D8" w:rsidTr="00790D6B">
        <w:trPr>
          <w:trHeight w:val="85"/>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3</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Phát triển đồng bộ hệ thống phân phối bán buôn, bán lẻ</w:t>
            </w:r>
          </w:p>
        </w:tc>
        <w:tc>
          <w:tcPr>
            <w:tcW w:w="1876" w:type="dxa"/>
            <w:vAlign w:val="center"/>
          </w:tcPr>
          <w:p w:rsidR="001B0E47" w:rsidRPr="00EB73D8" w:rsidRDefault="001B0E47" w:rsidP="00EB73D8">
            <w:pPr>
              <w:spacing w:before="0" w:after="0" w:line="240" w:lineRule="auto"/>
              <w:ind w:firstLine="0"/>
              <w:rPr>
                <w:rFonts w:eastAsia="Batang"/>
                <w:sz w:val="27"/>
                <w:szCs w:val="27"/>
                <w:lang w:eastAsia="ko-KR"/>
              </w:rPr>
            </w:pPr>
          </w:p>
        </w:tc>
      </w:tr>
      <w:tr w:rsidR="001B0E47" w:rsidRPr="00EB73D8" w:rsidTr="00790D6B">
        <w:trPr>
          <w:trHeight w:val="224"/>
        </w:trPr>
        <w:tc>
          <w:tcPr>
            <w:tcW w:w="648" w:type="dxa"/>
            <w:vAlign w:val="center"/>
          </w:tcPr>
          <w:p w:rsidR="001B0E47" w:rsidRPr="00EB73D8" w:rsidRDefault="001B0E47" w:rsidP="00EB73D8">
            <w:pPr>
              <w:spacing w:before="0" w:after="0" w:line="240" w:lineRule="auto"/>
              <w:ind w:firstLine="0"/>
              <w:jc w:val="left"/>
              <w:rPr>
                <w:rFonts w:eastAsia="Batang"/>
                <w:bCs/>
                <w:kern w:val="24"/>
                <w:sz w:val="27"/>
                <w:szCs w:val="27"/>
                <w:lang w:val="en-GB" w:eastAsia="ko-KR"/>
              </w:rPr>
            </w:pPr>
            <w:r w:rsidRPr="00EB73D8">
              <w:rPr>
                <w:rFonts w:eastAsia="Batang"/>
                <w:bCs/>
                <w:kern w:val="24"/>
                <w:sz w:val="27"/>
                <w:szCs w:val="27"/>
                <w:lang w:val="en-GB" w:eastAsia="ko-KR"/>
              </w:rPr>
              <w:t>4</w:t>
            </w:r>
          </w:p>
        </w:tc>
        <w:tc>
          <w:tcPr>
            <w:tcW w:w="6831"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r w:rsidRPr="00EB73D8">
              <w:rPr>
                <w:rFonts w:eastAsia="Batang"/>
                <w:bCs/>
                <w:kern w:val="24"/>
                <w:sz w:val="27"/>
                <w:szCs w:val="27"/>
                <w:lang w:val="en-GB" w:eastAsia="ko-KR"/>
              </w:rPr>
              <w:t>Phát triển du lịch trên địa bàn (số lượt khách du lịch, doanh thu từ ngành du lịch, số việc làm tạo ra, phát triển hạ tầng du lịch, các sản phẩm du lịch).</w:t>
            </w:r>
          </w:p>
        </w:tc>
        <w:tc>
          <w:tcPr>
            <w:tcW w:w="1876" w:type="dxa"/>
            <w:vAlign w:val="center"/>
          </w:tcPr>
          <w:p w:rsidR="001B0E47" w:rsidRPr="00EB73D8" w:rsidRDefault="001B0E47" w:rsidP="00EB73D8">
            <w:pPr>
              <w:spacing w:before="0" w:after="0" w:line="240" w:lineRule="auto"/>
              <w:ind w:firstLine="0"/>
              <w:rPr>
                <w:rFonts w:eastAsia="Batang"/>
                <w:bCs/>
                <w:kern w:val="24"/>
                <w:sz w:val="27"/>
                <w:szCs w:val="27"/>
                <w:lang w:val="en-GB" w:eastAsia="ko-KR"/>
              </w:rPr>
            </w:pPr>
          </w:p>
        </w:tc>
      </w:tr>
    </w:tbl>
    <w:p w:rsidR="00A202C8" w:rsidRPr="00EB73D8" w:rsidRDefault="00A202C8">
      <w:pPr>
        <w:rPr>
          <w:sz w:val="27"/>
          <w:szCs w:val="27"/>
        </w:rPr>
      </w:pPr>
    </w:p>
    <w:sectPr w:rsidR="00A202C8" w:rsidRPr="00EB73D8" w:rsidSect="00EB73D8">
      <w:footerReference w:type="default" r:id="rId8"/>
      <w:pgSz w:w="11907" w:h="16840" w:code="9"/>
      <w:pgMar w:top="1134" w:right="794" w:bottom="1134" w:left="136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84" w:rsidRDefault="00AC1584" w:rsidP="00C451CD">
      <w:pPr>
        <w:spacing w:before="0" w:after="0" w:line="240" w:lineRule="auto"/>
      </w:pPr>
      <w:r>
        <w:separator/>
      </w:r>
    </w:p>
  </w:endnote>
  <w:endnote w:type="continuationSeparator" w:id="0">
    <w:p w:rsidR="00AC1584" w:rsidRDefault="00AC1584" w:rsidP="00C451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23559"/>
      <w:docPartObj>
        <w:docPartGallery w:val="Page Numbers (Bottom of Page)"/>
        <w:docPartUnique/>
      </w:docPartObj>
    </w:sdtPr>
    <w:sdtEndPr>
      <w:rPr>
        <w:noProof/>
      </w:rPr>
    </w:sdtEndPr>
    <w:sdtContent>
      <w:p w:rsidR="00BA189D" w:rsidRDefault="00BA189D">
        <w:pPr>
          <w:pStyle w:val="Footer"/>
          <w:jc w:val="right"/>
        </w:pPr>
        <w:r>
          <w:fldChar w:fldCharType="begin"/>
        </w:r>
        <w:r>
          <w:instrText xml:space="preserve"> PAGE   \* MERGEFORMAT </w:instrText>
        </w:r>
        <w:r>
          <w:fldChar w:fldCharType="separate"/>
        </w:r>
        <w:r w:rsidR="00EB73D8">
          <w:rPr>
            <w:noProof/>
          </w:rPr>
          <w:t>1</w:t>
        </w:r>
        <w:r>
          <w:rPr>
            <w:noProof/>
          </w:rPr>
          <w:fldChar w:fldCharType="end"/>
        </w:r>
      </w:p>
    </w:sdtContent>
  </w:sdt>
  <w:p w:rsidR="00BA189D" w:rsidRDefault="00BA1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84" w:rsidRDefault="00AC1584" w:rsidP="00C451CD">
      <w:pPr>
        <w:spacing w:before="0" w:after="0" w:line="240" w:lineRule="auto"/>
      </w:pPr>
      <w:r>
        <w:separator/>
      </w:r>
    </w:p>
  </w:footnote>
  <w:footnote w:type="continuationSeparator" w:id="0">
    <w:p w:rsidR="00AC1584" w:rsidRDefault="00AC1584" w:rsidP="00C451C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90897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47"/>
    <w:rsid w:val="00162369"/>
    <w:rsid w:val="001B0E47"/>
    <w:rsid w:val="003D407C"/>
    <w:rsid w:val="00542CFB"/>
    <w:rsid w:val="00577A81"/>
    <w:rsid w:val="00591D4B"/>
    <w:rsid w:val="005939EC"/>
    <w:rsid w:val="007853BF"/>
    <w:rsid w:val="00790D6B"/>
    <w:rsid w:val="00834865"/>
    <w:rsid w:val="008469BE"/>
    <w:rsid w:val="00A202C8"/>
    <w:rsid w:val="00AC1584"/>
    <w:rsid w:val="00AD5ED2"/>
    <w:rsid w:val="00BA189D"/>
    <w:rsid w:val="00BD178E"/>
    <w:rsid w:val="00C451CD"/>
    <w:rsid w:val="00EB73D8"/>
    <w:rsid w:val="00FC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47"/>
    <w:pPr>
      <w:spacing w:before="120" w:after="120" w:line="288" w:lineRule="auto"/>
      <w:ind w:firstLine="567"/>
      <w:jc w:val="both"/>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B0E47"/>
    <w:pPr>
      <w:keepNext/>
      <w:spacing w:line="360" w:lineRule="auto"/>
      <w:ind w:firstLine="0"/>
      <w:outlineLvl w:val="0"/>
    </w:pPr>
    <w:rPr>
      <w:rFonts w:eastAsiaTheme="majorEastAsia" w:cstheme="majorBidi"/>
      <w:b/>
      <w:bCs/>
      <w:kern w:val="32"/>
      <w:szCs w:val="32"/>
    </w:rPr>
  </w:style>
  <w:style w:type="paragraph" w:styleId="Heading2">
    <w:name w:val="heading 2"/>
    <w:basedOn w:val="Normal"/>
    <w:next w:val="Normal"/>
    <w:link w:val="Heading2Char"/>
    <w:autoRedefine/>
    <w:semiHidden/>
    <w:unhideWhenUsed/>
    <w:qFormat/>
    <w:rsid w:val="001B0E47"/>
    <w:pPr>
      <w:keepNext/>
      <w:spacing w:line="360" w:lineRule="auto"/>
      <w:ind w:firstLine="0"/>
      <w:outlineLvl w:val="1"/>
    </w:pPr>
    <w:rPr>
      <w:rFonts w:eastAsiaTheme="majorEastAsia" w:cstheme="majorBidi"/>
      <w:b/>
      <w:bCs/>
      <w:i/>
      <w:iCs/>
      <w:szCs w:val="28"/>
    </w:rPr>
  </w:style>
  <w:style w:type="paragraph" w:styleId="Heading3">
    <w:name w:val="heading 3"/>
    <w:basedOn w:val="Normal"/>
    <w:next w:val="Normal"/>
    <w:link w:val="Heading3Char"/>
    <w:uiPriority w:val="9"/>
    <w:qFormat/>
    <w:rsid w:val="001B0E47"/>
    <w:pPr>
      <w:keepNext/>
      <w:keepLines/>
      <w:spacing w:line="276" w:lineRule="auto"/>
      <w:ind w:firstLine="0"/>
      <w:outlineLvl w:val="2"/>
    </w:pPr>
    <w:rPr>
      <w:rFonts w:eastAsiaTheme="majorEastAsia" w:cstheme="majorBidi"/>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E47"/>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semiHidden/>
    <w:rsid w:val="001B0E47"/>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uiPriority w:val="9"/>
    <w:rsid w:val="001B0E47"/>
    <w:rPr>
      <w:rFonts w:ascii="Times New Roman" w:eastAsiaTheme="majorEastAsia" w:hAnsi="Times New Roman" w:cstheme="majorBidi"/>
      <w:b/>
      <w:bCs/>
      <w:i/>
      <w:sz w:val="28"/>
      <w:szCs w:val="28"/>
    </w:rPr>
  </w:style>
  <w:style w:type="paragraph" w:styleId="Caption">
    <w:name w:val="caption"/>
    <w:basedOn w:val="Normal"/>
    <w:next w:val="Normal"/>
    <w:autoRedefine/>
    <w:uiPriority w:val="35"/>
    <w:qFormat/>
    <w:rsid w:val="001B0E47"/>
    <w:pPr>
      <w:spacing w:line="276" w:lineRule="auto"/>
      <w:ind w:firstLine="0"/>
      <w:jc w:val="center"/>
    </w:pPr>
    <w:rPr>
      <w:rFonts w:eastAsiaTheme="minorHAnsi"/>
      <w:b/>
      <w:iCs/>
      <w:szCs w:val="18"/>
    </w:rPr>
  </w:style>
  <w:style w:type="paragraph" w:customStyle="1" w:styleId="normalChar">
    <w:name w:val="normal Char"/>
    <w:basedOn w:val="Normal"/>
    <w:link w:val="normalCharChar"/>
    <w:rsid w:val="001B0E47"/>
    <w:pPr>
      <w:spacing w:before="100" w:beforeAutospacing="1" w:after="100" w:afterAutospacing="1" w:line="240" w:lineRule="auto"/>
      <w:ind w:firstLine="0"/>
      <w:jc w:val="left"/>
    </w:pPr>
    <w:rPr>
      <w:color w:val="000000"/>
      <w:sz w:val="24"/>
    </w:rPr>
  </w:style>
  <w:style w:type="character" w:customStyle="1" w:styleId="normalCharChar">
    <w:name w:val="normal Char Char"/>
    <w:basedOn w:val="DefaultParagraphFont"/>
    <w:link w:val="normalChar"/>
    <w:rsid w:val="001B0E47"/>
    <w:rPr>
      <w:rFonts w:ascii="Times New Roman" w:eastAsia="Times New Roman" w:hAnsi="Times New Roman" w:cs="Times New Roman"/>
      <w:color w:val="000000"/>
      <w:sz w:val="24"/>
      <w:szCs w:val="24"/>
    </w:rPr>
  </w:style>
  <w:style w:type="paragraph" w:customStyle="1" w:styleId="Normal1">
    <w:name w:val="Normal1"/>
    <w:basedOn w:val="Normal"/>
    <w:rsid w:val="001B0E47"/>
    <w:pPr>
      <w:spacing w:before="100" w:beforeAutospacing="1" w:after="100" w:afterAutospacing="1" w:line="240" w:lineRule="auto"/>
      <w:ind w:firstLine="0"/>
      <w:jc w:val="left"/>
    </w:pPr>
    <w:rPr>
      <w:color w:val="000000"/>
      <w:sz w:val="24"/>
    </w:rPr>
  </w:style>
  <w:style w:type="character" w:customStyle="1" w:styleId="hps">
    <w:name w:val="hps"/>
    <w:basedOn w:val="DefaultParagraphFont"/>
    <w:rsid w:val="001B0E47"/>
  </w:style>
  <w:style w:type="paragraph" w:customStyle="1" w:styleId="Default">
    <w:name w:val="Default"/>
    <w:rsid w:val="001B0E47"/>
    <w:pPr>
      <w:autoSpaceDE w:val="0"/>
      <w:autoSpaceDN w:val="0"/>
      <w:adjustRightInd w:val="0"/>
      <w:spacing w:before="120" w:after="0" w:line="240" w:lineRule="auto"/>
    </w:pPr>
    <w:rPr>
      <w:rFonts w:ascii="Arial" w:hAnsi="Arial" w:cs="Arial"/>
      <w:color w:val="000000"/>
      <w:sz w:val="24"/>
      <w:szCs w:val="24"/>
    </w:rPr>
  </w:style>
  <w:style w:type="paragraph" w:customStyle="1" w:styleId="Normal2">
    <w:name w:val="Normal2"/>
    <w:basedOn w:val="Normal"/>
    <w:rsid w:val="001B0E47"/>
    <w:pPr>
      <w:spacing w:before="100" w:beforeAutospacing="1" w:after="100" w:afterAutospacing="1" w:line="240" w:lineRule="auto"/>
      <w:ind w:firstLine="0"/>
      <w:jc w:val="left"/>
    </w:pPr>
    <w:rPr>
      <w:color w:val="000000"/>
      <w:sz w:val="24"/>
    </w:rPr>
  </w:style>
  <w:style w:type="paragraph" w:styleId="Header">
    <w:name w:val="header"/>
    <w:basedOn w:val="Normal"/>
    <w:link w:val="HeaderChar"/>
    <w:uiPriority w:val="99"/>
    <w:unhideWhenUsed/>
    <w:rsid w:val="001B0E47"/>
    <w:pPr>
      <w:tabs>
        <w:tab w:val="center" w:pos="4680"/>
        <w:tab w:val="right" w:pos="9360"/>
      </w:tabs>
      <w:spacing w:before="0" w:after="0" w:line="240" w:lineRule="auto"/>
      <w:ind w:firstLine="0"/>
      <w:jc w:val="left"/>
    </w:pPr>
    <w:rPr>
      <w:rFonts w:eastAsiaTheme="minorHAnsi"/>
      <w:szCs w:val="28"/>
    </w:rPr>
  </w:style>
  <w:style w:type="character" w:customStyle="1" w:styleId="HeaderChar">
    <w:name w:val="Header Char"/>
    <w:basedOn w:val="DefaultParagraphFont"/>
    <w:link w:val="Header"/>
    <w:uiPriority w:val="99"/>
    <w:rsid w:val="001B0E47"/>
    <w:rPr>
      <w:rFonts w:ascii="Times New Roman" w:hAnsi="Times New Roman" w:cs="Times New Roman"/>
      <w:sz w:val="28"/>
      <w:szCs w:val="28"/>
    </w:rPr>
  </w:style>
  <w:style w:type="paragraph" w:styleId="Footer">
    <w:name w:val="footer"/>
    <w:basedOn w:val="Normal"/>
    <w:link w:val="FooterChar"/>
    <w:uiPriority w:val="99"/>
    <w:unhideWhenUsed/>
    <w:rsid w:val="001B0E47"/>
    <w:pPr>
      <w:tabs>
        <w:tab w:val="center" w:pos="4680"/>
        <w:tab w:val="right" w:pos="9360"/>
      </w:tabs>
      <w:spacing w:before="0" w:after="0" w:line="240" w:lineRule="auto"/>
      <w:ind w:firstLine="0"/>
      <w:jc w:val="left"/>
    </w:pPr>
    <w:rPr>
      <w:rFonts w:eastAsiaTheme="minorHAnsi"/>
      <w:szCs w:val="28"/>
    </w:rPr>
  </w:style>
  <w:style w:type="character" w:customStyle="1" w:styleId="FooterChar">
    <w:name w:val="Footer Char"/>
    <w:basedOn w:val="DefaultParagraphFont"/>
    <w:link w:val="Footer"/>
    <w:uiPriority w:val="99"/>
    <w:rsid w:val="001B0E47"/>
    <w:rPr>
      <w:rFonts w:ascii="Times New Roman" w:hAnsi="Times New Roman" w:cs="Times New Roman"/>
      <w:sz w:val="28"/>
      <w:szCs w:val="28"/>
    </w:rPr>
  </w:style>
  <w:style w:type="character" w:styleId="Hyperlink">
    <w:name w:val="Hyperlink"/>
    <w:basedOn w:val="DefaultParagraphFont"/>
    <w:uiPriority w:val="99"/>
    <w:unhideWhenUsed/>
    <w:rsid w:val="001B0E47"/>
    <w:rPr>
      <w:color w:val="0000FF" w:themeColor="hyperlink"/>
      <w:u w:val="single"/>
    </w:rPr>
  </w:style>
  <w:style w:type="character" w:customStyle="1" w:styleId="BalloonTextChar">
    <w:name w:val="Balloon Text Char"/>
    <w:basedOn w:val="DefaultParagraphFont"/>
    <w:link w:val="BalloonText"/>
    <w:uiPriority w:val="99"/>
    <w:semiHidden/>
    <w:rsid w:val="001B0E47"/>
    <w:rPr>
      <w:rFonts w:ascii="Tahoma" w:hAnsi="Tahoma" w:cs="Tahoma"/>
      <w:sz w:val="16"/>
      <w:szCs w:val="16"/>
    </w:rPr>
  </w:style>
  <w:style w:type="paragraph" w:styleId="BalloonText">
    <w:name w:val="Balloon Text"/>
    <w:basedOn w:val="Normal"/>
    <w:link w:val="BalloonTextChar"/>
    <w:uiPriority w:val="99"/>
    <w:semiHidden/>
    <w:unhideWhenUsed/>
    <w:rsid w:val="001B0E47"/>
    <w:pPr>
      <w:spacing w:after="0" w:line="240" w:lineRule="auto"/>
      <w:ind w:firstLine="0"/>
      <w:jc w:val="left"/>
    </w:pPr>
    <w:rPr>
      <w:rFonts w:ascii="Tahoma" w:eastAsiaTheme="minorHAnsi" w:hAnsi="Tahoma" w:cs="Tahoma"/>
      <w:sz w:val="16"/>
      <w:szCs w:val="16"/>
    </w:rPr>
  </w:style>
  <w:style w:type="paragraph" w:styleId="ListParagraph">
    <w:name w:val="List Paragraph"/>
    <w:basedOn w:val="Normal"/>
    <w:uiPriority w:val="34"/>
    <w:qFormat/>
    <w:rsid w:val="001B0E47"/>
    <w:pPr>
      <w:spacing w:line="276" w:lineRule="auto"/>
      <w:ind w:left="720" w:firstLine="0"/>
      <w:contextualSpacing/>
      <w:jc w:val="left"/>
    </w:pPr>
    <w:rPr>
      <w:rFonts w:eastAsiaTheme="minorHAnsi"/>
      <w:szCs w:val="28"/>
    </w:rPr>
  </w:style>
  <w:style w:type="character" w:styleId="CommentReference">
    <w:name w:val="annotation reference"/>
    <w:uiPriority w:val="99"/>
    <w:rsid w:val="001B0E47"/>
    <w:rPr>
      <w:sz w:val="16"/>
      <w:szCs w:val="16"/>
    </w:rPr>
  </w:style>
  <w:style w:type="paragraph" w:styleId="CommentText">
    <w:name w:val="annotation text"/>
    <w:basedOn w:val="Normal"/>
    <w:link w:val="CommentTextChar"/>
    <w:uiPriority w:val="99"/>
    <w:rsid w:val="001B0E47"/>
    <w:pPr>
      <w:spacing w:before="0" w:after="0" w:line="240" w:lineRule="auto"/>
      <w:ind w:firstLine="0"/>
      <w:jc w:val="left"/>
    </w:pPr>
    <w:rPr>
      <w:sz w:val="20"/>
      <w:szCs w:val="20"/>
      <w:lang w:val="vi-VN" w:eastAsia="en-GB"/>
    </w:rPr>
  </w:style>
  <w:style w:type="character" w:customStyle="1" w:styleId="CommentTextChar">
    <w:name w:val="Comment Text Char"/>
    <w:basedOn w:val="DefaultParagraphFont"/>
    <w:link w:val="CommentText"/>
    <w:uiPriority w:val="99"/>
    <w:rsid w:val="001B0E47"/>
    <w:rPr>
      <w:rFonts w:ascii="Times New Roman" w:eastAsia="Times New Roman" w:hAnsi="Times New Roman" w:cs="Times New Roman"/>
      <w:sz w:val="20"/>
      <w:szCs w:val="20"/>
      <w:lang w:val="vi-VN" w:eastAsia="en-GB"/>
    </w:rPr>
  </w:style>
  <w:style w:type="table" w:customStyle="1" w:styleId="TableGrid1">
    <w:name w:val="Table Grid1"/>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B0E47"/>
    <w:pPr>
      <w:spacing w:before="120"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
    <w:basedOn w:val="Normal"/>
    <w:link w:val="FootnoteTextChar"/>
    <w:uiPriority w:val="99"/>
    <w:qFormat/>
    <w:rsid w:val="001B0E47"/>
    <w:pPr>
      <w:spacing w:before="0" w:after="0" w:line="240" w:lineRule="auto"/>
      <w:ind w:firstLine="0"/>
      <w:jc w:val="left"/>
    </w:pPr>
    <w:rPr>
      <w:rFonts w:eastAsia="Batang"/>
      <w:sz w:val="20"/>
      <w:szCs w:val="20"/>
      <w:lang w:val="x-none" w:eastAsia="ko-KR"/>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rsid w:val="001B0E47"/>
    <w:rPr>
      <w:rFonts w:ascii="Times New Roman" w:eastAsia="Batang" w:hAnsi="Times New Roman" w:cs="Times New Roman"/>
      <w:sz w:val="20"/>
      <w:szCs w:val="20"/>
      <w:lang w:val="x-none" w:eastAsia="ko-KR"/>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
    <w:qFormat/>
    <w:rsid w:val="001B0E47"/>
    <w:rPr>
      <w:vertAlign w:val="superscript"/>
    </w:rPr>
  </w:style>
  <w:style w:type="paragraph" w:styleId="ListBullet">
    <w:name w:val="List Bullet"/>
    <w:basedOn w:val="Normal"/>
    <w:uiPriority w:val="99"/>
    <w:unhideWhenUsed/>
    <w:rsid w:val="001B0E47"/>
    <w:pPr>
      <w:numPr>
        <w:numId w:val="1"/>
      </w:numPr>
      <w:spacing w:line="240" w:lineRule="auto"/>
      <w:ind w:left="0" w:firstLine="0"/>
      <w:contextualSpacing/>
    </w:pPr>
    <w:rPr>
      <w:szCs w:val="22"/>
    </w:rPr>
  </w:style>
  <w:style w:type="character" w:customStyle="1" w:styleId="CommentSubjectChar">
    <w:name w:val="Comment Subject Char"/>
    <w:basedOn w:val="CommentTextChar"/>
    <w:link w:val="CommentSubject"/>
    <w:uiPriority w:val="99"/>
    <w:semiHidden/>
    <w:rsid w:val="001B0E47"/>
    <w:rPr>
      <w:rFonts w:ascii="Times New Roman" w:eastAsia="Batang" w:hAnsi="Times New Roman" w:cs="Times New Roman"/>
      <w:b/>
      <w:bCs/>
      <w:sz w:val="20"/>
      <w:szCs w:val="20"/>
      <w:lang w:val="vi-VN" w:eastAsia="ko-KR"/>
    </w:rPr>
  </w:style>
  <w:style w:type="paragraph" w:styleId="CommentSubject">
    <w:name w:val="annotation subject"/>
    <w:basedOn w:val="CommentText"/>
    <w:next w:val="CommentText"/>
    <w:link w:val="CommentSubjectChar"/>
    <w:uiPriority w:val="99"/>
    <w:semiHidden/>
    <w:unhideWhenUsed/>
    <w:rsid w:val="001B0E47"/>
    <w:rPr>
      <w:rFonts w:eastAsia="Batang"/>
      <w:b/>
      <w:bCs/>
      <w:lang w:val="en-US" w:eastAsia="ko-KR"/>
    </w:rPr>
  </w:style>
  <w:style w:type="table" w:customStyle="1" w:styleId="TableGrid5">
    <w:name w:val="Table Grid5"/>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47"/>
    <w:pPr>
      <w:spacing w:before="120" w:after="120" w:line="288" w:lineRule="auto"/>
      <w:ind w:firstLine="567"/>
      <w:jc w:val="both"/>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B0E47"/>
    <w:pPr>
      <w:keepNext/>
      <w:spacing w:line="360" w:lineRule="auto"/>
      <w:ind w:firstLine="0"/>
      <w:outlineLvl w:val="0"/>
    </w:pPr>
    <w:rPr>
      <w:rFonts w:eastAsiaTheme="majorEastAsia" w:cstheme="majorBidi"/>
      <w:b/>
      <w:bCs/>
      <w:kern w:val="32"/>
      <w:szCs w:val="32"/>
    </w:rPr>
  </w:style>
  <w:style w:type="paragraph" w:styleId="Heading2">
    <w:name w:val="heading 2"/>
    <w:basedOn w:val="Normal"/>
    <w:next w:val="Normal"/>
    <w:link w:val="Heading2Char"/>
    <w:autoRedefine/>
    <w:semiHidden/>
    <w:unhideWhenUsed/>
    <w:qFormat/>
    <w:rsid w:val="001B0E47"/>
    <w:pPr>
      <w:keepNext/>
      <w:spacing w:line="360" w:lineRule="auto"/>
      <w:ind w:firstLine="0"/>
      <w:outlineLvl w:val="1"/>
    </w:pPr>
    <w:rPr>
      <w:rFonts w:eastAsiaTheme="majorEastAsia" w:cstheme="majorBidi"/>
      <w:b/>
      <w:bCs/>
      <w:i/>
      <w:iCs/>
      <w:szCs w:val="28"/>
    </w:rPr>
  </w:style>
  <w:style w:type="paragraph" w:styleId="Heading3">
    <w:name w:val="heading 3"/>
    <w:basedOn w:val="Normal"/>
    <w:next w:val="Normal"/>
    <w:link w:val="Heading3Char"/>
    <w:uiPriority w:val="9"/>
    <w:qFormat/>
    <w:rsid w:val="001B0E47"/>
    <w:pPr>
      <w:keepNext/>
      <w:keepLines/>
      <w:spacing w:line="276" w:lineRule="auto"/>
      <w:ind w:firstLine="0"/>
      <w:outlineLvl w:val="2"/>
    </w:pPr>
    <w:rPr>
      <w:rFonts w:eastAsiaTheme="majorEastAsia" w:cstheme="majorBidi"/>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E47"/>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semiHidden/>
    <w:rsid w:val="001B0E47"/>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uiPriority w:val="9"/>
    <w:rsid w:val="001B0E47"/>
    <w:rPr>
      <w:rFonts w:ascii="Times New Roman" w:eastAsiaTheme="majorEastAsia" w:hAnsi="Times New Roman" w:cstheme="majorBidi"/>
      <w:b/>
      <w:bCs/>
      <w:i/>
      <w:sz w:val="28"/>
      <w:szCs w:val="28"/>
    </w:rPr>
  </w:style>
  <w:style w:type="paragraph" w:styleId="Caption">
    <w:name w:val="caption"/>
    <w:basedOn w:val="Normal"/>
    <w:next w:val="Normal"/>
    <w:autoRedefine/>
    <w:uiPriority w:val="35"/>
    <w:qFormat/>
    <w:rsid w:val="001B0E47"/>
    <w:pPr>
      <w:spacing w:line="276" w:lineRule="auto"/>
      <w:ind w:firstLine="0"/>
      <w:jc w:val="center"/>
    </w:pPr>
    <w:rPr>
      <w:rFonts w:eastAsiaTheme="minorHAnsi"/>
      <w:b/>
      <w:iCs/>
      <w:szCs w:val="18"/>
    </w:rPr>
  </w:style>
  <w:style w:type="paragraph" w:customStyle="1" w:styleId="normalChar">
    <w:name w:val="normal Char"/>
    <w:basedOn w:val="Normal"/>
    <w:link w:val="normalCharChar"/>
    <w:rsid w:val="001B0E47"/>
    <w:pPr>
      <w:spacing w:before="100" w:beforeAutospacing="1" w:after="100" w:afterAutospacing="1" w:line="240" w:lineRule="auto"/>
      <w:ind w:firstLine="0"/>
      <w:jc w:val="left"/>
    </w:pPr>
    <w:rPr>
      <w:color w:val="000000"/>
      <w:sz w:val="24"/>
    </w:rPr>
  </w:style>
  <w:style w:type="character" w:customStyle="1" w:styleId="normalCharChar">
    <w:name w:val="normal Char Char"/>
    <w:basedOn w:val="DefaultParagraphFont"/>
    <w:link w:val="normalChar"/>
    <w:rsid w:val="001B0E47"/>
    <w:rPr>
      <w:rFonts w:ascii="Times New Roman" w:eastAsia="Times New Roman" w:hAnsi="Times New Roman" w:cs="Times New Roman"/>
      <w:color w:val="000000"/>
      <w:sz w:val="24"/>
      <w:szCs w:val="24"/>
    </w:rPr>
  </w:style>
  <w:style w:type="paragraph" w:customStyle="1" w:styleId="Normal1">
    <w:name w:val="Normal1"/>
    <w:basedOn w:val="Normal"/>
    <w:rsid w:val="001B0E47"/>
    <w:pPr>
      <w:spacing w:before="100" w:beforeAutospacing="1" w:after="100" w:afterAutospacing="1" w:line="240" w:lineRule="auto"/>
      <w:ind w:firstLine="0"/>
      <w:jc w:val="left"/>
    </w:pPr>
    <w:rPr>
      <w:color w:val="000000"/>
      <w:sz w:val="24"/>
    </w:rPr>
  </w:style>
  <w:style w:type="character" w:customStyle="1" w:styleId="hps">
    <w:name w:val="hps"/>
    <w:basedOn w:val="DefaultParagraphFont"/>
    <w:rsid w:val="001B0E47"/>
  </w:style>
  <w:style w:type="paragraph" w:customStyle="1" w:styleId="Default">
    <w:name w:val="Default"/>
    <w:rsid w:val="001B0E47"/>
    <w:pPr>
      <w:autoSpaceDE w:val="0"/>
      <w:autoSpaceDN w:val="0"/>
      <w:adjustRightInd w:val="0"/>
      <w:spacing w:before="120" w:after="0" w:line="240" w:lineRule="auto"/>
    </w:pPr>
    <w:rPr>
      <w:rFonts w:ascii="Arial" w:hAnsi="Arial" w:cs="Arial"/>
      <w:color w:val="000000"/>
      <w:sz w:val="24"/>
      <w:szCs w:val="24"/>
    </w:rPr>
  </w:style>
  <w:style w:type="paragraph" w:customStyle="1" w:styleId="Normal2">
    <w:name w:val="Normal2"/>
    <w:basedOn w:val="Normal"/>
    <w:rsid w:val="001B0E47"/>
    <w:pPr>
      <w:spacing w:before="100" w:beforeAutospacing="1" w:after="100" w:afterAutospacing="1" w:line="240" w:lineRule="auto"/>
      <w:ind w:firstLine="0"/>
      <w:jc w:val="left"/>
    </w:pPr>
    <w:rPr>
      <w:color w:val="000000"/>
      <w:sz w:val="24"/>
    </w:rPr>
  </w:style>
  <w:style w:type="paragraph" w:styleId="Header">
    <w:name w:val="header"/>
    <w:basedOn w:val="Normal"/>
    <w:link w:val="HeaderChar"/>
    <w:uiPriority w:val="99"/>
    <w:unhideWhenUsed/>
    <w:rsid w:val="001B0E47"/>
    <w:pPr>
      <w:tabs>
        <w:tab w:val="center" w:pos="4680"/>
        <w:tab w:val="right" w:pos="9360"/>
      </w:tabs>
      <w:spacing w:before="0" w:after="0" w:line="240" w:lineRule="auto"/>
      <w:ind w:firstLine="0"/>
      <w:jc w:val="left"/>
    </w:pPr>
    <w:rPr>
      <w:rFonts w:eastAsiaTheme="minorHAnsi"/>
      <w:szCs w:val="28"/>
    </w:rPr>
  </w:style>
  <w:style w:type="character" w:customStyle="1" w:styleId="HeaderChar">
    <w:name w:val="Header Char"/>
    <w:basedOn w:val="DefaultParagraphFont"/>
    <w:link w:val="Header"/>
    <w:uiPriority w:val="99"/>
    <w:rsid w:val="001B0E47"/>
    <w:rPr>
      <w:rFonts w:ascii="Times New Roman" w:hAnsi="Times New Roman" w:cs="Times New Roman"/>
      <w:sz w:val="28"/>
      <w:szCs w:val="28"/>
    </w:rPr>
  </w:style>
  <w:style w:type="paragraph" w:styleId="Footer">
    <w:name w:val="footer"/>
    <w:basedOn w:val="Normal"/>
    <w:link w:val="FooterChar"/>
    <w:uiPriority w:val="99"/>
    <w:unhideWhenUsed/>
    <w:rsid w:val="001B0E47"/>
    <w:pPr>
      <w:tabs>
        <w:tab w:val="center" w:pos="4680"/>
        <w:tab w:val="right" w:pos="9360"/>
      </w:tabs>
      <w:spacing w:before="0" w:after="0" w:line="240" w:lineRule="auto"/>
      <w:ind w:firstLine="0"/>
      <w:jc w:val="left"/>
    </w:pPr>
    <w:rPr>
      <w:rFonts w:eastAsiaTheme="minorHAnsi"/>
      <w:szCs w:val="28"/>
    </w:rPr>
  </w:style>
  <w:style w:type="character" w:customStyle="1" w:styleId="FooterChar">
    <w:name w:val="Footer Char"/>
    <w:basedOn w:val="DefaultParagraphFont"/>
    <w:link w:val="Footer"/>
    <w:uiPriority w:val="99"/>
    <w:rsid w:val="001B0E47"/>
    <w:rPr>
      <w:rFonts w:ascii="Times New Roman" w:hAnsi="Times New Roman" w:cs="Times New Roman"/>
      <w:sz w:val="28"/>
      <w:szCs w:val="28"/>
    </w:rPr>
  </w:style>
  <w:style w:type="character" w:styleId="Hyperlink">
    <w:name w:val="Hyperlink"/>
    <w:basedOn w:val="DefaultParagraphFont"/>
    <w:uiPriority w:val="99"/>
    <w:unhideWhenUsed/>
    <w:rsid w:val="001B0E47"/>
    <w:rPr>
      <w:color w:val="0000FF" w:themeColor="hyperlink"/>
      <w:u w:val="single"/>
    </w:rPr>
  </w:style>
  <w:style w:type="character" w:customStyle="1" w:styleId="BalloonTextChar">
    <w:name w:val="Balloon Text Char"/>
    <w:basedOn w:val="DefaultParagraphFont"/>
    <w:link w:val="BalloonText"/>
    <w:uiPriority w:val="99"/>
    <w:semiHidden/>
    <w:rsid w:val="001B0E47"/>
    <w:rPr>
      <w:rFonts w:ascii="Tahoma" w:hAnsi="Tahoma" w:cs="Tahoma"/>
      <w:sz w:val="16"/>
      <w:szCs w:val="16"/>
    </w:rPr>
  </w:style>
  <w:style w:type="paragraph" w:styleId="BalloonText">
    <w:name w:val="Balloon Text"/>
    <w:basedOn w:val="Normal"/>
    <w:link w:val="BalloonTextChar"/>
    <w:uiPriority w:val="99"/>
    <w:semiHidden/>
    <w:unhideWhenUsed/>
    <w:rsid w:val="001B0E47"/>
    <w:pPr>
      <w:spacing w:after="0" w:line="240" w:lineRule="auto"/>
      <w:ind w:firstLine="0"/>
      <w:jc w:val="left"/>
    </w:pPr>
    <w:rPr>
      <w:rFonts w:ascii="Tahoma" w:eastAsiaTheme="minorHAnsi" w:hAnsi="Tahoma" w:cs="Tahoma"/>
      <w:sz w:val="16"/>
      <w:szCs w:val="16"/>
    </w:rPr>
  </w:style>
  <w:style w:type="paragraph" w:styleId="ListParagraph">
    <w:name w:val="List Paragraph"/>
    <w:basedOn w:val="Normal"/>
    <w:uiPriority w:val="34"/>
    <w:qFormat/>
    <w:rsid w:val="001B0E47"/>
    <w:pPr>
      <w:spacing w:line="276" w:lineRule="auto"/>
      <w:ind w:left="720" w:firstLine="0"/>
      <w:contextualSpacing/>
      <w:jc w:val="left"/>
    </w:pPr>
    <w:rPr>
      <w:rFonts w:eastAsiaTheme="minorHAnsi"/>
      <w:szCs w:val="28"/>
    </w:rPr>
  </w:style>
  <w:style w:type="character" w:styleId="CommentReference">
    <w:name w:val="annotation reference"/>
    <w:uiPriority w:val="99"/>
    <w:rsid w:val="001B0E47"/>
    <w:rPr>
      <w:sz w:val="16"/>
      <w:szCs w:val="16"/>
    </w:rPr>
  </w:style>
  <w:style w:type="paragraph" w:styleId="CommentText">
    <w:name w:val="annotation text"/>
    <w:basedOn w:val="Normal"/>
    <w:link w:val="CommentTextChar"/>
    <w:uiPriority w:val="99"/>
    <w:rsid w:val="001B0E47"/>
    <w:pPr>
      <w:spacing w:before="0" w:after="0" w:line="240" w:lineRule="auto"/>
      <w:ind w:firstLine="0"/>
      <w:jc w:val="left"/>
    </w:pPr>
    <w:rPr>
      <w:sz w:val="20"/>
      <w:szCs w:val="20"/>
      <w:lang w:val="vi-VN" w:eastAsia="en-GB"/>
    </w:rPr>
  </w:style>
  <w:style w:type="character" w:customStyle="1" w:styleId="CommentTextChar">
    <w:name w:val="Comment Text Char"/>
    <w:basedOn w:val="DefaultParagraphFont"/>
    <w:link w:val="CommentText"/>
    <w:uiPriority w:val="99"/>
    <w:rsid w:val="001B0E47"/>
    <w:rPr>
      <w:rFonts w:ascii="Times New Roman" w:eastAsia="Times New Roman" w:hAnsi="Times New Roman" w:cs="Times New Roman"/>
      <w:sz w:val="20"/>
      <w:szCs w:val="20"/>
      <w:lang w:val="vi-VN" w:eastAsia="en-GB"/>
    </w:rPr>
  </w:style>
  <w:style w:type="table" w:customStyle="1" w:styleId="TableGrid1">
    <w:name w:val="Table Grid1"/>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B0E47"/>
    <w:pPr>
      <w:spacing w:before="120"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
    <w:basedOn w:val="Normal"/>
    <w:link w:val="FootnoteTextChar"/>
    <w:uiPriority w:val="99"/>
    <w:qFormat/>
    <w:rsid w:val="001B0E47"/>
    <w:pPr>
      <w:spacing w:before="0" w:after="0" w:line="240" w:lineRule="auto"/>
      <w:ind w:firstLine="0"/>
      <w:jc w:val="left"/>
    </w:pPr>
    <w:rPr>
      <w:rFonts w:eastAsia="Batang"/>
      <w:sz w:val="20"/>
      <w:szCs w:val="20"/>
      <w:lang w:val="x-none" w:eastAsia="ko-KR"/>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rsid w:val="001B0E47"/>
    <w:rPr>
      <w:rFonts w:ascii="Times New Roman" w:eastAsia="Batang" w:hAnsi="Times New Roman" w:cs="Times New Roman"/>
      <w:sz w:val="20"/>
      <w:szCs w:val="20"/>
      <w:lang w:val="x-none" w:eastAsia="ko-KR"/>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
    <w:qFormat/>
    <w:rsid w:val="001B0E47"/>
    <w:rPr>
      <w:vertAlign w:val="superscript"/>
    </w:rPr>
  </w:style>
  <w:style w:type="paragraph" w:styleId="ListBullet">
    <w:name w:val="List Bullet"/>
    <w:basedOn w:val="Normal"/>
    <w:uiPriority w:val="99"/>
    <w:unhideWhenUsed/>
    <w:rsid w:val="001B0E47"/>
    <w:pPr>
      <w:numPr>
        <w:numId w:val="1"/>
      </w:numPr>
      <w:spacing w:line="240" w:lineRule="auto"/>
      <w:ind w:left="0" w:firstLine="0"/>
      <w:contextualSpacing/>
    </w:pPr>
    <w:rPr>
      <w:szCs w:val="22"/>
    </w:rPr>
  </w:style>
  <w:style w:type="character" w:customStyle="1" w:styleId="CommentSubjectChar">
    <w:name w:val="Comment Subject Char"/>
    <w:basedOn w:val="CommentTextChar"/>
    <w:link w:val="CommentSubject"/>
    <w:uiPriority w:val="99"/>
    <w:semiHidden/>
    <w:rsid w:val="001B0E47"/>
    <w:rPr>
      <w:rFonts w:ascii="Times New Roman" w:eastAsia="Batang" w:hAnsi="Times New Roman" w:cs="Times New Roman"/>
      <w:b/>
      <w:bCs/>
      <w:sz w:val="20"/>
      <w:szCs w:val="20"/>
      <w:lang w:val="vi-VN" w:eastAsia="ko-KR"/>
    </w:rPr>
  </w:style>
  <w:style w:type="paragraph" w:styleId="CommentSubject">
    <w:name w:val="annotation subject"/>
    <w:basedOn w:val="CommentText"/>
    <w:next w:val="CommentText"/>
    <w:link w:val="CommentSubjectChar"/>
    <w:uiPriority w:val="99"/>
    <w:semiHidden/>
    <w:unhideWhenUsed/>
    <w:rsid w:val="001B0E47"/>
    <w:rPr>
      <w:rFonts w:eastAsia="Batang"/>
      <w:b/>
      <w:bCs/>
      <w:lang w:val="en-US" w:eastAsia="ko-KR"/>
    </w:rPr>
  </w:style>
  <w:style w:type="table" w:customStyle="1" w:styleId="TableGrid5">
    <w:name w:val="Table Grid5"/>
    <w:basedOn w:val="TableNormal"/>
    <w:next w:val="TableGrid"/>
    <w:uiPriority w:val="59"/>
    <w:rsid w:val="001B0E4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Dong Nguyen Thai</cp:lastModifiedBy>
  <cp:revision>5</cp:revision>
  <cp:lastPrinted>2018-06-19T02:30:00Z</cp:lastPrinted>
  <dcterms:created xsi:type="dcterms:W3CDTF">2018-07-06T10:27:00Z</dcterms:created>
  <dcterms:modified xsi:type="dcterms:W3CDTF">2018-07-17T08:26:00Z</dcterms:modified>
</cp:coreProperties>
</file>